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0F80D" w14:textId="449653EA" w:rsidR="007039D7" w:rsidRPr="007039D7" w:rsidRDefault="007039D7" w:rsidP="007039D7">
      <w:pPr>
        <w:pStyle w:val="Header"/>
        <w:tabs>
          <w:tab w:val="right" w:pos="10440"/>
          <w:tab w:val="right" w:pos="13323"/>
        </w:tabs>
        <w:rPr>
          <w:rFonts w:ascii="Arial" w:hAnsi="Arial"/>
          <w:b/>
          <w:sz w:val="24"/>
          <w:szCs w:val="24"/>
          <w:lang w:eastAsia="zh-CN"/>
        </w:rPr>
      </w:pPr>
      <w:r w:rsidRPr="007039D7">
        <w:rPr>
          <w:rFonts w:ascii="Arial" w:hAnsi="Arial"/>
          <w:b/>
          <w:sz w:val="24"/>
          <w:szCs w:val="24"/>
          <w:lang w:eastAsia="zh-CN"/>
        </w:rPr>
        <w:t>3GPP TSG-RAN WG4 Meeting #86Bis</w:t>
      </w:r>
      <w:r w:rsidRPr="007039D7">
        <w:rPr>
          <w:rFonts w:ascii="Arial" w:hAnsi="Arial"/>
          <w:b/>
          <w:sz w:val="24"/>
          <w:szCs w:val="24"/>
          <w:lang w:eastAsia="zh-CN"/>
        </w:rPr>
        <w:tab/>
      </w:r>
      <w:r w:rsidRPr="007039D7">
        <w:rPr>
          <w:rFonts w:ascii="Arial" w:hAnsi="Arial"/>
          <w:b/>
          <w:sz w:val="24"/>
          <w:szCs w:val="24"/>
          <w:lang w:eastAsia="zh-CN"/>
        </w:rPr>
        <w:tab/>
      </w:r>
      <w:r w:rsidR="00C313DD" w:rsidRPr="00C313DD">
        <w:rPr>
          <w:rFonts w:ascii="Arial" w:hAnsi="Arial"/>
          <w:b/>
          <w:sz w:val="24"/>
          <w:szCs w:val="24"/>
          <w:lang w:eastAsia="zh-CN"/>
        </w:rPr>
        <w:t>R4-1805322</w:t>
      </w:r>
    </w:p>
    <w:p w14:paraId="16290D8D" w14:textId="77777777" w:rsidR="00F51BE1" w:rsidRDefault="007039D7" w:rsidP="007039D7">
      <w:pPr>
        <w:pStyle w:val="Header"/>
        <w:tabs>
          <w:tab w:val="clear" w:pos="4153"/>
          <w:tab w:val="clear" w:pos="8306"/>
          <w:tab w:val="right" w:pos="10440"/>
          <w:tab w:val="right" w:pos="13323"/>
        </w:tabs>
        <w:rPr>
          <w:rFonts w:ascii="Arial" w:hAnsi="Arial"/>
          <w:b/>
          <w:sz w:val="24"/>
          <w:szCs w:val="24"/>
          <w:lang w:eastAsia="zh-CN"/>
        </w:rPr>
      </w:pPr>
      <w:r w:rsidRPr="007039D7">
        <w:rPr>
          <w:rFonts w:ascii="Arial" w:hAnsi="Arial"/>
          <w:b/>
          <w:sz w:val="24"/>
          <w:szCs w:val="24"/>
          <w:lang w:eastAsia="zh-CN"/>
        </w:rPr>
        <w:t>Melbourne, Australia, 16 - 20 April 2018</w:t>
      </w:r>
    </w:p>
    <w:p w14:paraId="3FF99365" w14:textId="77777777" w:rsidR="00F51BE1" w:rsidRDefault="00F51BE1" w:rsidP="00F51BE1">
      <w:pPr>
        <w:tabs>
          <w:tab w:val="left" w:pos="1985"/>
        </w:tabs>
        <w:rPr>
          <w:rFonts w:ascii="Arial" w:hAnsi="Arial"/>
          <w:b/>
          <w:sz w:val="24"/>
          <w:szCs w:val="24"/>
          <w:lang w:eastAsia="zh-CN"/>
        </w:rPr>
      </w:pPr>
    </w:p>
    <w:p w14:paraId="649853DE" w14:textId="77777777"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p>
    <w:p w14:paraId="42D6651B" w14:textId="77777777"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E06DE7">
        <w:rPr>
          <w:rFonts w:ascii="Arial" w:hAnsi="Arial" w:cs="Arial"/>
          <w:sz w:val="22"/>
          <w:szCs w:val="22"/>
          <w:lang w:val="en-US"/>
        </w:rPr>
        <w:t>On UE Beam</w:t>
      </w:r>
      <w:r w:rsidR="00182CF4">
        <w:rPr>
          <w:rFonts w:ascii="Arial" w:hAnsi="Arial" w:cs="Arial"/>
          <w:sz w:val="22"/>
          <w:szCs w:val="22"/>
          <w:lang w:val="en-US"/>
        </w:rPr>
        <w:t xml:space="preserve"> Correspondence</w:t>
      </w:r>
      <w:r w:rsidR="00E06DE7">
        <w:rPr>
          <w:rFonts w:ascii="Arial" w:hAnsi="Arial" w:cs="Arial"/>
          <w:sz w:val="22"/>
          <w:szCs w:val="22"/>
          <w:lang w:val="en-US"/>
        </w:rPr>
        <w:t xml:space="preserve"> and EIS spherical coverage</w:t>
      </w:r>
    </w:p>
    <w:p w14:paraId="35F1A782" w14:textId="77777777"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C90FF8">
        <w:rPr>
          <w:rFonts w:ascii="Arial" w:hAnsi="Arial" w:cs="Arial"/>
          <w:sz w:val="22"/>
          <w:szCs w:val="22"/>
          <w:lang w:val="en-US"/>
        </w:rPr>
        <w:t>7.4.8.12</w:t>
      </w:r>
    </w:p>
    <w:p w14:paraId="12B3F2E2" w14:textId="1B039290"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C313DD">
        <w:rPr>
          <w:rFonts w:ascii="Arial" w:hAnsi="Arial" w:cs="Arial"/>
          <w:bCs/>
          <w:sz w:val="22"/>
          <w:szCs w:val="22"/>
          <w:lang w:val="en-US"/>
        </w:rPr>
        <w:t>Approval</w:t>
      </w:r>
    </w:p>
    <w:p w14:paraId="1C79749D" w14:textId="77777777"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14:paraId="7A7B5A76" w14:textId="77777777" w:rsidR="008661CA" w:rsidRDefault="008661CA" w:rsidP="008661CA">
      <w:pPr>
        <w:pStyle w:val="BodyText"/>
        <w:rPr>
          <w:lang w:val="en-US"/>
        </w:rPr>
      </w:pPr>
      <w:r>
        <w:rPr>
          <w:lang w:val="en-US"/>
        </w:rPr>
        <w:t xml:space="preserve">Beam correspondence </w:t>
      </w:r>
      <w:r w:rsidR="00492D3C">
        <w:rPr>
          <w:lang w:val="en-US"/>
        </w:rPr>
        <w:t>was</w:t>
      </w:r>
      <w:r>
        <w:rPr>
          <w:lang w:val="en-US"/>
        </w:rPr>
        <w:t xml:space="preserve"> discussed </w:t>
      </w:r>
      <w:r w:rsidR="00492D3C">
        <w:rPr>
          <w:lang w:val="en-US"/>
        </w:rPr>
        <w:t>in RAN4 #86</w:t>
      </w:r>
      <w:r w:rsidR="00A17EEE">
        <w:rPr>
          <w:lang w:val="en-US"/>
        </w:rPr>
        <w:t xml:space="preserve"> </w:t>
      </w:r>
      <w:r w:rsidR="00A17EEE">
        <w:rPr>
          <w:lang w:val="en-US"/>
        </w:rPr>
        <w:fldChar w:fldCharType="begin"/>
      </w:r>
      <w:r w:rsidR="00A17EEE">
        <w:rPr>
          <w:lang w:val="en-US"/>
        </w:rPr>
        <w:instrText xml:space="preserve"> REF _Ref508807160 \r \h </w:instrText>
      </w:r>
      <w:r w:rsidR="00A17EEE">
        <w:rPr>
          <w:lang w:val="en-US"/>
        </w:rPr>
      </w:r>
      <w:r w:rsidR="00A17EEE">
        <w:rPr>
          <w:lang w:val="en-US"/>
        </w:rPr>
        <w:fldChar w:fldCharType="separate"/>
      </w:r>
      <w:r w:rsidR="00A345D4">
        <w:rPr>
          <w:lang w:val="en-US"/>
        </w:rPr>
        <w:t>[5]</w:t>
      </w:r>
      <w:r w:rsidR="00A17EEE">
        <w:rPr>
          <w:lang w:val="en-US"/>
        </w:rPr>
        <w:fldChar w:fldCharType="end"/>
      </w:r>
      <w:r w:rsidR="00492D3C">
        <w:rPr>
          <w:lang w:val="en-US"/>
        </w:rPr>
        <w:t xml:space="preserve">, </w:t>
      </w:r>
      <w:r w:rsidR="00492D3C">
        <w:rPr>
          <w:lang w:val="en-US"/>
        </w:rPr>
        <w:fldChar w:fldCharType="begin"/>
      </w:r>
      <w:r w:rsidR="00492D3C">
        <w:rPr>
          <w:lang w:val="en-US"/>
        </w:rPr>
        <w:instrText xml:space="preserve"> REF _Ref508807167 \r \h </w:instrText>
      </w:r>
      <w:r w:rsidR="00492D3C">
        <w:rPr>
          <w:lang w:val="en-US"/>
        </w:rPr>
      </w:r>
      <w:r w:rsidR="00492D3C">
        <w:rPr>
          <w:lang w:val="en-US"/>
        </w:rPr>
        <w:fldChar w:fldCharType="separate"/>
      </w:r>
      <w:r w:rsidR="00A345D4">
        <w:rPr>
          <w:lang w:val="en-US"/>
        </w:rPr>
        <w:t>[6]</w:t>
      </w:r>
      <w:r w:rsidR="00492D3C">
        <w:rPr>
          <w:lang w:val="en-US"/>
        </w:rPr>
        <w:fldChar w:fldCharType="end"/>
      </w:r>
      <w:r w:rsidR="00492D3C">
        <w:rPr>
          <w:lang w:val="en-US"/>
        </w:rPr>
        <w:t xml:space="preserve">, </w:t>
      </w:r>
      <w:r w:rsidR="00492D3C">
        <w:rPr>
          <w:lang w:val="en-US"/>
        </w:rPr>
        <w:fldChar w:fldCharType="begin"/>
      </w:r>
      <w:r w:rsidR="00492D3C">
        <w:rPr>
          <w:lang w:val="en-US"/>
        </w:rPr>
        <w:instrText xml:space="preserve"> REF _Ref510703570 \r \h </w:instrText>
      </w:r>
      <w:r w:rsidR="00492D3C">
        <w:rPr>
          <w:lang w:val="en-US"/>
        </w:rPr>
      </w:r>
      <w:r w:rsidR="00492D3C">
        <w:rPr>
          <w:lang w:val="en-US"/>
        </w:rPr>
        <w:fldChar w:fldCharType="separate"/>
      </w:r>
      <w:r w:rsidR="00A345D4">
        <w:rPr>
          <w:lang w:val="en-US"/>
        </w:rPr>
        <w:t>[7]</w:t>
      </w:r>
      <w:r w:rsidR="00492D3C">
        <w:rPr>
          <w:lang w:val="en-US"/>
        </w:rPr>
        <w:fldChar w:fldCharType="end"/>
      </w:r>
      <w:r>
        <w:rPr>
          <w:lang w:val="en-US"/>
        </w:rPr>
        <w:t>.</w:t>
      </w:r>
      <w:r w:rsidR="00E73C40">
        <w:rPr>
          <w:lang w:val="en-US"/>
        </w:rPr>
        <w:t xml:space="preserve"> A WF </w:t>
      </w:r>
      <w:r w:rsidR="00E73C40">
        <w:rPr>
          <w:lang w:val="en-US"/>
        </w:rPr>
        <w:fldChar w:fldCharType="begin"/>
      </w:r>
      <w:r w:rsidR="00E73C40">
        <w:rPr>
          <w:lang w:val="en-US"/>
        </w:rPr>
        <w:instrText xml:space="preserve"> REF _Ref508875069 \r \h </w:instrText>
      </w:r>
      <w:r w:rsidR="00E73C40">
        <w:rPr>
          <w:lang w:val="en-US"/>
        </w:rPr>
      </w:r>
      <w:r w:rsidR="00E73C40">
        <w:rPr>
          <w:lang w:val="en-US"/>
        </w:rPr>
        <w:fldChar w:fldCharType="separate"/>
      </w:r>
      <w:r w:rsidR="00A345D4">
        <w:rPr>
          <w:lang w:val="en-US"/>
        </w:rPr>
        <w:t>[1]</w:t>
      </w:r>
      <w:r w:rsidR="00E73C40">
        <w:rPr>
          <w:lang w:val="en-US"/>
        </w:rPr>
        <w:fldChar w:fldCharType="end"/>
      </w:r>
      <w:r w:rsidR="00E73C40">
        <w:rPr>
          <w:lang w:val="en-US"/>
        </w:rPr>
        <w:t xml:space="preserve"> was contributed but not treated in the RAN4 #86 meeting.</w:t>
      </w:r>
    </w:p>
    <w:p w14:paraId="694A603E" w14:textId="77777777" w:rsidR="00D36577" w:rsidRDefault="00A81690" w:rsidP="008661CA">
      <w:pPr>
        <w:pStyle w:val="BodyText"/>
        <w:rPr>
          <w:lang w:val="en-US"/>
        </w:rPr>
      </w:pPr>
      <w:r>
        <w:rPr>
          <w:lang w:val="en-US"/>
        </w:rPr>
        <w:t>Beam correspondence at UE is defined in RAN1 #86 bis according to</w:t>
      </w:r>
      <w:r w:rsidR="00D36577">
        <w:rPr>
          <w:lang w:val="en-US"/>
        </w:rPr>
        <w:t xml:space="preserve"> </w:t>
      </w:r>
      <w:r w:rsidR="00A36A21">
        <w:rPr>
          <w:lang w:val="en-US"/>
        </w:rPr>
        <w:fldChar w:fldCharType="begin"/>
      </w:r>
      <w:r w:rsidR="00A36A21">
        <w:rPr>
          <w:lang w:val="en-US"/>
        </w:rPr>
        <w:instrText xml:space="preserve"> REF _Ref510712272 \r \h </w:instrText>
      </w:r>
      <w:r w:rsidR="00A36A21">
        <w:rPr>
          <w:lang w:val="en-US"/>
        </w:rPr>
      </w:r>
      <w:r w:rsidR="00A36A21">
        <w:rPr>
          <w:lang w:val="en-US"/>
        </w:rPr>
        <w:fldChar w:fldCharType="separate"/>
      </w:r>
      <w:r w:rsidR="00A345D4">
        <w:rPr>
          <w:lang w:val="en-US"/>
        </w:rPr>
        <w:t>[2]</w:t>
      </w:r>
      <w:r w:rsidR="00A36A21">
        <w:rPr>
          <w:lang w:val="en-US"/>
        </w:rPr>
        <w:fldChar w:fldCharType="end"/>
      </w:r>
      <w:r>
        <w:rPr>
          <w:lang w:val="en-US"/>
        </w:rPr>
        <w:t>:</w:t>
      </w:r>
    </w:p>
    <w:p w14:paraId="655B22A2" w14:textId="77777777" w:rsidR="00A81690" w:rsidRDefault="00A81690" w:rsidP="008661CA">
      <w:pPr>
        <w:pStyle w:val="BodyText"/>
        <w:rPr>
          <w:lang w:val="en-US"/>
        </w:rPr>
      </w:pPr>
      <w:r w:rsidRPr="00A81690">
        <w:rPr>
          <w:noProof/>
          <w:lang w:val="en-US" w:eastAsia="ja-JP"/>
        </w:rPr>
        <mc:AlternateContent>
          <mc:Choice Requires="wps">
            <w:drawing>
              <wp:inline distT="0" distB="0" distL="0" distR="0" wp14:anchorId="1EE1B77E" wp14:editId="54492E85">
                <wp:extent cx="6283757" cy="140462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3757" cy="1404620"/>
                        </a:xfrm>
                        <a:prstGeom prst="rect">
                          <a:avLst/>
                        </a:prstGeom>
                        <a:solidFill>
                          <a:srgbClr val="FFFFFF"/>
                        </a:solidFill>
                        <a:ln w="9525">
                          <a:solidFill>
                            <a:srgbClr val="000000"/>
                          </a:solidFill>
                          <a:miter lim="800000"/>
                          <a:headEnd/>
                          <a:tailEnd/>
                        </a:ln>
                      </wps:spPr>
                      <wps:txbx>
                        <w:txbxContent>
                          <w:p w14:paraId="07A4E336" w14:textId="77777777" w:rsidR="00A81690" w:rsidRPr="00035F63" w:rsidRDefault="00A81690" w:rsidP="00A81690">
                            <w:pPr>
                              <w:rPr>
                                <w:rFonts w:eastAsia="MS Mincho"/>
                                <w:highlight w:val="darkYellow"/>
                                <w:lang w:val="en-US" w:eastAsia="ja-JP"/>
                              </w:rPr>
                            </w:pPr>
                            <w:r w:rsidRPr="00035F63">
                              <w:rPr>
                                <w:rFonts w:eastAsia="MS Mincho"/>
                                <w:highlight w:val="darkYellow"/>
                                <w:lang w:val="en-US" w:eastAsia="ja-JP"/>
                              </w:rPr>
                              <w:t>Working assumption:</w:t>
                            </w:r>
                          </w:p>
                          <w:p w14:paraId="5BAD4816" w14:textId="77777777" w:rsidR="00A81690" w:rsidRPr="000D707C" w:rsidRDefault="00A81690" w:rsidP="00A81690">
                            <w:pPr>
                              <w:pStyle w:val="ListParagraph"/>
                              <w:numPr>
                                <w:ilvl w:val="1"/>
                                <w:numId w:val="12"/>
                              </w:numPr>
                              <w:rPr>
                                <w:rFonts w:eastAsia="MS Mincho"/>
                                <w:lang w:val="en-US"/>
                              </w:rPr>
                            </w:pPr>
                            <w:r w:rsidRPr="000D707C">
                              <w:rPr>
                                <w:rFonts w:eastAsia="MS Mincho"/>
                              </w:rPr>
                              <w:t xml:space="preserve">The followings are defined as </w:t>
                            </w:r>
                            <w:r w:rsidRPr="000D707C">
                              <w:rPr>
                                <w:rFonts w:eastAsia="MS Mincho"/>
                                <w:lang w:val="en-US"/>
                              </w:rPr>
                              <w:t xml:space="preserve">Tx/Rx </w:t>
                            </w:r>
                            <w:r w:rsidRPr="000D707C">
                              <w:rPr>
                                <w:rFonts w:eastAsia="MS Mincho"/>
                              </w:rPr>
                              <w:t>beam correspondence at TRP and UE :</w:t>
                            </w:r>
                          </w:p>
                          <w:p w14:paraId="21B35A0C" w14:textId="77777777" w:rsidR="00A81690" w:rsidRPr="000D707C" w:rsidRDefault="00A81690" w:rsidP="00A81690">
                            <w:pPr>
                              <w:pStyle w:val="ListParagraph"/>
                              <w:numPr>
                                <w:ilvl w:val="1"/>
                                <w:numId w:val="12"/>
                              </w:numPr>
                              <w:rPr>
                                <w:rFonts w:eastAsia="MS Mincho"/>
                                <w:lang w:val="en-US"/>
                              </w:rPr>
                            </w:pPr>
                            <w:r w:rsidRPr="000D707C">
                              <w:rPr>
                                <w:rFonts w:eastAsia="MS Mincho"/>
                                <w:bCs/>
                                <w:lang w:val="en-US"/>
                              </w:rPr>
                              <w:t xml:space="preserve">Tx/Rx beam </w:t>
                            </w:r>
                            <w:r w:rsidRPr="000D707C">
                              <w:rPr>
                                <w:rFonts w:eastAsia="MS Mincho"/>
                              </w:rPr>
                              <w:t xml:space="preserve">correspondence </w:t>
                            </w:r>
                            <w:r w:rsidRPr="000D707C">
                              <w:rPr>
                                <w:rFonts w:eastAsia="MS Mincho"/>
                                <w:bCs/>
                                <w:lang w:val="en-US"/>
                              </w:rPr>
                              <w:t xml:space="preserve">at TRP holds </w:t>
                            </w:r>
                            <w:r w:rsidRPr="000D707C">
                              <w:rPr>
                                <w:rFonts w:eastAsia="MS Mincho"/>
                                <w:lang w:val="en-US"/>
                              </w:rPr>
                              <w:t>if at least one of the following is satisfied:</w:t>
                            </w:r>
                          </w:p>
                          <w:p w14:paraId="789240F8" w14:textId="77777777" w:rsidR="00A81690" w:rsidRPr="000D707C" w:rsidRDefault="00A81690" w:rsidP="00A81690">
                            <w:pPr>
                              <w:pStyle w:val="ListParagraph"/>
                              <w:numPr>
                                <w:ilvl w:val="2"/>
                                <w:numId w:val="12"/>
                              </w:numPr>
                              <w:rPr>
                                <w:rFonts w:eastAsia="MS Mincho"/>
                                <w:lang w:val="en-US"/>
                              </w:rPr>
                            </w:pPr>
                            <w:r w:rsidRPr="000D707C">
                              <w:rPr>
                                <w:rFonts w:eastAsia="MS Mincho"/>
                                <w:lang w:val="en-US"/>
                              </w:rPr>
                              <w:t>TRP is able to determine a TRP Rx beam for the uplink reception based on UE’s downlink measurement on TRP’s one or more Tx beams.</w:t>
                            </w:r>
                          </w:p>
                          <w:p w14:paraId="1DD3564B" w14:textId="77777777" w:rsidR="00A81690" w:rsidRPr="000D707C" w:rsidRDefault="00A81690" w:rsidP="00A81690">
                            <w:pPr>
                              <w:pStyle w:val="ListParagraph"/>
                              <w:numPr>
                                <w:ilvl w:val="2"/>
                                <w:numId w:val="12"/>
                              </w:numPr>
                              <w:rPr>
                                <w:rFonts w:eastAsia="MS Mincho"/>
                                <w:lang w:val="en-US"/>
                              </w:rPr>
                            </w:pPr>
                            <w:r w:rsidRPr="000D707C">
                              <w:rPr>
                                <w:rFonts w:eastAsia="MS Mincho"/>
                              </w:rPr>
                              <w:t>TRP is able to determine a TRP Tx beam for the downlink transmission based on TRP’s uplink measurement on TRP’s one or more Rx beams</w:t>
                            </w:r>
                          </w:p>
                          <w:p w14:paraId="4FA239D0" w14:textId="77777777" w:rsidR="00A81690" w:rsidRPr="000D707C" w:rsidRDefault="00A81690" w:rsidP="00A81690">
                            <w:pPr>
                              <w:pStyle w:val="ListParagraph"/>
                              <w:numPr>
                                <w:ilvl w:val="1"/>
                                <w:numId w:val="12"/>
                              </w:numPr>
                              <w:rPr>
                                <w:rFonts w:eastAsia="MS Mincho"/>
                                <w:lang w:val="en-US"/>
                              </w:rPr>
                            </w:pPr>
                            <w:r w:rsidRPr="000D707C">
                              <w:rPr>
                                <w:rFonts w:eastAsia="MS Mincho"/>
                                <w:bCs/>
                                <w:lang w:val="en-US"/>
                              </w:rPr>
                              <w:t xml:space="preserve">Tx/Rx beam </w:t>
                            </w:r>
                            <w:r w:rsidRPr="000D707C">
                              <w:rPr>
                                <w:rFonts w:eastAsia="MS Mincho"/>
                              </w:rPr>
                              <w:t xml:space="preserve">correspondence </w:t>
                            </w:r>
                            <w:r w:rsidRPr="000D707C">
                              <w:rPr>
                                <w:rFonts w:eastAsia="MS Mincho"/>
                                <w:bCs/>
                                <w:lang w:val="en-US"/>
                              </w:rPr>
                              <w:t xml:space="preserve">at UE holds </w:t>
                            </w:r>
                            <w:r w:rsidRPr="000D707C">
                              <w:rPr>
                                <w:rFonts w:eastAsia="MS Mincho"/>
                                <w:lang w:val="en-US"/>
                              </w:rPr>
                              <w:t xml:space="preserve">if at least one of the following is satisfied: </w:t>
                            </w:r>
                          </w:p>
                          <w:p w14:paraId="1D90ADBE" w14:textId="77777777" w:rsidR="00A81690" w:rsidRPr="000D707C" w:rsidRDefault="00A81690" w:rsidP="00A81690">
                            <w:pPr>
                              <w:pStyle w:val="ListParagraph"/>
                              <w:numPr>
                                <w:ilvl w:val="2"/>
                                <w:numId w:val="12"/>
                              </w:numPr>
                              <w:rPr>
                                <w:rFonts w:eastAsia="MS Mincho"/>
                                <w:lang w:val="en-US"/>
                              </w:rPr>
                            </w:pPr>
                            <w:r w:rsidRPr="000D707C">
                              <w:rPr>
                                <w:rFonts w:eastAsia="MS Mincho"/>
                                <w:lang w:val="en-US"/>
                              </w:rPr>
                              <w:t>UE is able to determine a UE Tx beam for the uplink transmission based on UE’s downlink measurement on UE’s one or more Rx beams.</w:t>
                            </w:r>
                          </w:p>
                          <w:p w14:paraId="526608F2" w14:textId="77777777" w:rsidR="00A81690" w:rsidRPr="000D707C" w:rsidRDefault="00A81690" w:rsidP="00A81690">
                            <w:pPr>
                              <w:pStyle w:val="ListParagraph"/>
                              <w:numPr>
                                <w:ilvl w:val="2"/>
                                <w:numId w:val="12"/>
                              </w:numPr>
                              <w:rPr>
                                <w:rFonts w:eastAsia="MS Mincho"/>
                                <w:lang w:val="en-US"/>
                              </w:rPr>
                            </w:pPr>
                            <w:r w:rsidRPr="000D707C">
                              <w:rPr>
                                <w:rFonts w:eastAsia="MS Mincho"/>
                              </w:rPr>
                              <w:t>UE is able to determine a</w:t>
                            </w:r>
                            <w:r w:rsidRPr="000D707C">
                              <w:rPr>
                                <w:rFonts w:eastAsia="MS Mincho"/>
                                <w:lang w:val="en-US"/>
                              </w:rPr>
                              <w:t xml:space="preserve"> </w:t>
                            </w:r>
                            <w:r w:rsidRPr="000D707C">
                              <w:rPr>
                                <w:rFonts w:eastAsia="MS Mincho"/>
                              </w:rPr>
                              <w:t>UE Rx beam for the downlink reception based on TRP’s indication based on uplink measurement on UE’s one or more Tx beams.</w:t>
                            </w:r>
                          </w:p>
                          <w:p w14:paraId="2F720B39" w14:textId="77777777" w:rsidR="00A81690" w:rsidRDefault="00A81690" w:rsidP="00D36577">
                            <w:pPr>
                              <w:pStyle w:val="ListParagraph"/>
                              <w:numPr>
                                <w:ilvl w:val="1"/>
                                <w:numId w:val="12"/>
                              </w:numPr>
                              <w:rPr>
                                <w:b/>
                                <w:bCs/>
                                <w:lang w:val="en-US"/>
                              </w:rPr>
                            </w:pPr>
                            <w:r w:rsidRPr="000D707C">
                              <w:rPr>
                                <w:rFonts w:eastAsia="MS Mincho"/>
                              </w:rPr>
                              <w:t>More refined definition can still be discussed</w:t>
                            </w:r>
                          </w:p>
                        </w:txbxContent>
                      </wps:txbx>
                      <wps:bodyPr rot="0" vert="horz" wrap="square" lIns="91440" tIns="45720" rIns="91440" bIns="45720" anchor="t" anchorCtr="0">
                        <a:spAutoFit/>
                      </wps:bodyPr>
                    </wps:wsp>
                  </a:graphicData>
                </a:graphic>
              </wp:inline>
            </w:drawing>
          </mc:Choice>
          <mc:Fallback>
            <w:pict>
              <v:shapetype w14:anchorId="1EE1B77E" id="_x0000_t202" coordsize="21600,21600" o:spt="202" path="m,l,21600r21600,l21600,xe">
                <v:stroke joinstyle="miter"/>
                <v:path gradientshapeok="t" o:connecttype="rect"/>
              </v:shapetype>
              <v:shape id="Text Box 2" o:spid="_x0000_s1026" type="#_x0000_t202" style="width:49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">
                <v:textbox style="mso-fit-shape-to-text:t">
                  <w:txbxContent>
                    <w:p w14:paraId="07A4E336" w14:textId="77777777" w:rsidR="00A81690" w:rsidRPr="00035F63" w:rsidRDefault="00A81690" w:rsidP="00A81690">
                      <w:pPr>
                        <w:rPr>
                          <w:rFonts w:eastAsia="MS Mincho"/>
                          <w:highlight w:val="darkYellow"/>
                          <w:lang w:val="en-US" w:eastAsia="ja-JP"/>
                        </w:rPr>
                      </w:pPr>
                      <w:r w:rsidRPr="00035F63">
                        <w:rPr>
                          <w:rFonts w:eastAsia="MS Mincho"/>
                          <w:highlight w:val="darkYellow"/>
                          <w:lang w:val="en-US" w:eastAsia="ja-JP"/>
                        </w:rPr>
                        <w:t>Working assumption:</w:t>
                      </w:r>
                    </w:p>
                    <w:p w14:paraId="5BAD4816" w14:textId="77777777" w:rsidR="00A81690" w:rsidRPr="000D707C" w:rsidRDefault="00A81690" w:rsidP="00A81690">
                      <w:pPr>
                        <w:pStyle w:val="ListParagraph"/>
                        <w:numPr>
                          <w:ilvl w:val="1"/>
                          <w:numId w:val="12"/>
                        </w:numPr>
                        <w:rPr>
                          <w:rFonts w:eastAsia="MS Mincho"/>
                          <w:lang w:val="en-US"/>
                        </w:rPr>
                      </w:pPr>
                      <w:r w:rsidRPr="000D707C">
                        <w:rPr>
                          <w:rFonts w:eastAsia="MS Mincho"/>
                        </w:rPr>
                        <w:t xml:space="preserve">The followings are defined as </w:t>
                      </w:r>
                      <w:r w:rsidRPr="000D707C">
                        <w:rPr>
                          <w:rFonts w:eastAsia="MS Mincho"/>
                          <w:lang w:val="en-US"/>
                        </w:rPr>
                        <w:t xml:space="preserve">Tx/Rx </w:t>
                      </w:r>
                      <w:r w:rsidRPr="000D707C">
                        <w:rPr>
                          <w:rFonts w:eastAsia="MS Mincho"/>
                        </w:rPr>
                        <w:t>beam correspondence at TRP and UE :</w:t>
                      </w:r>
                    </w:p>
                    <w:p w14:paraId="21B35A0C" w14:textId="77777777" w:rsidR="00A81690" w:rsidRPr="000D707C" w:rsidRDefault="00A81690" w:rsidP="00A81690">
                      <w:pPr>
                        <w:pStyle w:val="ListParagraph"/>
                        <w:numPr>
                          <w:ilvl w:val="1"/>
                          <w:numId w:val="12"/>
                        </w:numPr>
                        <w:rPr>
                          <w:rFonts w:eastAsia="MS Mincho"/>
                          <w:lang w:val="en-US"/>
                        </w:rPr>
                      </w:pPr>
                      <w:r w:rsidRPr="000D707C">
                        <w:rPr>
                          <w:rFonts w:eastAsia="MS Mincho"/>
                          <w:bCs/>
                          <w:lang w:val="en-US"/>
                        </w:rPr>
                        <w:t xml:space="preserve">Tx/Rx beam </w:t>
                      </w:r>
                      <w:r w:rsidRPr="000D707C">
                        <w:rPr>
                          <w:rFonts w:eastAsia="MS Mincho"/>
                        </w:rPr>
                        <w:t xml:space="preserve">correspondence </w:t>
                      </w:r>
                      <w:r w:rsidRPr="000D707C">
                        <w:rPr>
                          <w:rFonts w:eastAsia="MS Mincho"/>
                          <w:bCs/>
                          <w:lang w:val="en-US"/>
                        </w:rPr>
                        <w:t xml:space="preserve">at TRP holds </w:t>
                      </w:r>
                      <w:r w:rsidRPr="000D707C">
                        <w:rPr>
                          <w:rFonts w:eastAsia="MS Mincho"/>
                          <w:lang w:val="en-US"/>
                        </w:rPr>
                        <w:t>if at least one of the following is satisfied:</w:t>
                      </w:r>
                    </w:p>
                    <w:p w14:paraId="789240F8" w14:textId="77777777" w:rsidR="00A81690" w:rsidRPr="000D707C" w:rsidRDefault="00A81690" w:rsidP="00A81690">
                      <w:pPr>
                        <w:pStyle w:val="ListParagraph"/>
                        <w:numPr>
                          <w:ilvl w:val="2"/>
                          <w:numId w:val="12"/>
                        </w:numPr>
                        <w:rPr>
                          <w:rFonts w:eastAsia="MS Mincho"/>
                          <w:lang w:val="en-US"/>
                        </w:rPr>
                      </w:pPr>
                      <w:r w:rsidRPr="000D707C">
                        <w:rPr>
                          <w:rFonts w:eastAsia="MS Mincho"/>
                          <w:lang w:val="en-US"/>
                        </w:rPr>
                        <w:t>TRP is able to determine a TRP Rx beam for the uplink reception based on UE’s downlink measurement on TRP’s one or more Tx beams.</w:t>
                      </w:r>
                    </w:p>
                    <w:p w14:paraId="1DD3564B" w14:textId="77777777" w:rsidR="00A81690" w:rsidRPr="000D707C" w:rsidRDefault="00A81690" w:rsidP="00A81690">
                      <w:pPr>
                        <w:pStyle w:val="ListParagraph"/>
                        <w:numPr>
                          <w:ilvl w:val="2"/>
                          <w:numId w:val="12"/>
                        </w:numPr>
                        <w:rPr>
                          <w:rFonts w:eastAsia="MS Mincho"/>
                          <w:lang w:val="en-US"/>
                        </w:rPr>
                      </w:pPr>
                      <w:r w:rsidRPr="000D707C">
                        <w:rPr>
                          <w:rFonts w:eastAsia="MS Mincho"/>
                        </w:rPr>
                        <w:t>TRP is able to determine a TRP Tx beam for the downlink transmission based on TRP’s uplink measurement on TRP’s one or more Rx beams</w:t>
                      </w:r>
                    </w:p>
                    <w:p w14:paraId="4FA239D0" w14:textId="77777777" w:rsidR="00A81690" w:rsidRPr="000D707C" w:rsidRDefault="00A81690" w:rsidP="00A81690">
                      <w:pPr>
                        <w:pStyle w:val="ListParagraph"/>
                        <w:numPr>
                          <w:ilvl w:val="1"/>
                          <w:numId w:val="12"/>
                        </w:numPr>
                        <w:rPr>
                          <w:rFonts w:eastAsia="MS Mincho"/>
                          <w:lang w:val="en-US"/>
                        </w:rPr>
                      </w:pPr>
                      <w:r w:rsidRPr="000D707C">
                        <w:rPr>
                          <w:rFonts w:eastAsia="MS Mincho"/>
                          <w:bCs/>
                          <w:lang w:val="en-US"/>
                        </w:rPr>
                        <w:t xml:space="preserve">Tx/Rx beam </w:t>
                      </w:r>
                      <w:r w:rsidRPr="000D707C">
                        <w:rPr>
                          <w:rFonts w:eastAsia="MS Mincho"/>
                        </w:rPr>
                        <w:t xml:space="preserve">correspondence </w:t>
                      </w:r>
                      <w:r w:rsidRPr="000D707C">
                        <w:rPr>
                          <w:rFonts w:eastAsia="MS Mincho"/>
                          <w:bCs/>
                          <w:lang w:val="en-US"/>
                        </w:rPr>
                        <w:t xml:space="preserve">at UE holds </w:t>
                      </w:r>
                      <w:r w:rsidRPr="000D707C">
                        <w:rPr>
                          <w:rFonts w:eastAsia="MS Mincho"/>
                          <w:lang w:val="en-US"/>
                        </w:rPr>
                        <w:t xml:space="preserve">if at least one of the following is satisfied: </w:t>
                      </w:r>
                    </w:p>
                    <w:p w14:paraId="1D90ADBE" w14:textId="77777777" w:rsidR="00A81690" w:rsidRPr="000D707C" w:rsidRDefault="00A81690" w:rsidP="00A81690">
                      <w:pPr>
                        <w:pStyle w:val="ListParagraph"/>
                        <w:numPr>
                          <w:ilvl w:val="2"/>
                          <w:numId w:val="12"/>
                        </w:numPr>
                        <w:rPr>
                          <w:rFonts w:eastAsia="MS Mincho"/>
                          <w:lang w:val="en-US"/>
                        </w:rPr>
                      </w:pPr>
                      <w:r w:rsidRPr="000D707C">
                        <w:rPr>
                          <w:rFonts w:eastAsia="MS Mincho"/>
                          <w:lang w:val="en-US"/>
                        </w:rPr>
                        <w:t>UE is able to determine a UE Tx beam for the uplink transmission based on UE’s downlink measurement on UE’s one or more Rx beams.</w:t>
                      </w:r>
                    </w:p>
                    <w:p w14:paraId="526608F2" w14:textId="77777777" w:rsidR="00A81690" w:rsidRPr="000D707C" w:rsidRDefault="00A81690" w:rsidP="00A81690">
                      <w:pPr>
                        <w:pStyle w:val="ListParagraph"/>
                        <w:numPr>
                          <w:ilvl w:val="2"/>
                          <w:numId w:val="12"/>
                        </w:numPr>
                        <w:rPr>
                          <w:rFonts w:eastAsia="MS Mincho"/>
                          <w:lang w:val="en-US"/>
                        </w:rPr>
                      </w:pPr>
                      <w:r w:rsidRPr="000D707C">
                        <w:rPr>
                          <w:rFonts w:eastAsia="MS Mincho"/>
                        </w:rPr>
                        <w:t>UE is able to determine a</w:t>
                      </w:r>
                      <w:r w:rsidRPr="000D707C">
                        <w:rPr>
                          <w:rFonts w:eastAsia="MS Mincho"/>
                          <w:lang w:val="en-US"/>
                        </w:rPr>
                        <w:t xml:space="preserve"> </w:t>
                      </w:r>
                      <w:r w:rsidRPr="000D707C">
                        <w:rPr>
                          <w:rFonts w:eastAsia="MS Mincho"/>
                        </w:rPr>
                        <w:t>UE Rx beam for the downlink reception based on TRP’s indication based on uplink measurement on UE’s one or more Tx beams.</w:t>
                      </w:r>
                    </w:p>
                    <w:p w14:paraId="2F720B39" w14:textId="77777777" w:rsidR="00A81690" w:rsidRDefault="00A81690" w:rsidP="00D36577">
                      <w:pPr>
                        <w:pStyle w:val="ListParagraph"/>
                        <w:numPr>
                          <w:ilvl w:val="1"/>
                          <w:numId w:val="12"/>
                        </w:numPr>
                        <w:rPr>
                          <w:b/>
                          <w:bCs/>
                          <w:lang w:val="en-US"/>
                        </w:rPr>
                      </w:pPr>
                      <w:r w:rsidRPr="000D707C">
                        <w:rPr>
                          <w:rFonts w:eastAsia="MS Mincho"/>
                        </w:rPr>
                        <w:t>More refined definition can still be discussed</w:t>
                      </w:r>
                    </w:p>
                  </w:txbxContent>
                </v:textbox>
                <w10:anchorlock/>
              </v:shape>
            </w:pict>
          </mc:Fallback>
        </mc:AlternateContent>
      </w:r>
      <w:r>
        <w:rPr>
          <w:lang w:val="en-US"/>
        </w:rPr>
        <w:t xml:space="preserve"> </w:t>
      </w:r>
    </w:p>
    <w:p w14:paraId="744C8135" w14:textId="77777777" w:rsidR="00D36577" w:rsidRDefault="00D36577" w:rsidP="008661CA">
      <w:pPr>
        <w:pStyle w:val="BodyText"/>
        <w:rPr>
          <w:lang w:val="en-US"/>
        </w:rPr>
      </w:pPr>
    </w:p>
    <w:p w14:paraId="3605BEB9" w14:textId="77777777" w:rsidR="00D36577" w:rsidRDefault="00D36577" w:rsidP="008661CA">
      <w:pPr>
        <w:pStyle w:val="BodyText"/>
        <w:rPr>
          <w:lang w:val="en-US"/>
        </w:rPr>
      </w:pPr>
      <w:r>
        <w:rPr>
          <w:lang w:val="en-US"/>
        </w:rPr>
        <w:t xml:space="preserve">This was confirmed in RAN1 #AH1_NR </w:t>
      </w:r>
      <w:r>
        <w:rPr>
          <w:lang w:val="en-US"/>
        </w:rPr>
        <w:fldChar w:fldCharType="begin"/>
      </w:r>
      <w:r>
        <w:rPr>
          <w:lang w:val="en-US"/>
        </w:rPr>
        <w:instrText xml:space="preserve"> REF _Ref510706534 \r \h </w:instrText>
      </w:r>
      <w:r>
        <w:rPr>
          <w:lang w:val="en-US"/>
        </w:rPr>
      </w:r>
      <w:r>
        <w:rPr>
          <w:lang w:val="en-US"/>
        </w:rPr>
        <w:fldChar w:fldCharType="separate"/>
      </w:r>
      <w:r w:rsidR="00A345D4">
        <w:rPr>
          <w:lang w:val="en-US"/>
        </w:rPr>
        <w:t>[3]</w:t>
      </w:r>
      <w:r>
        <w:rPr>
          <w:lang w:val="en-US"/>
        </w:rPr>
        <w:fldChar w:fldCharType="end"/>
      </w:r>
      <w:r>
        <w:rPr>
          <w:lang w:val="en-US"/>
        </w:rPr>
        <w:t>:</w:t>
      </w:r>
    </w:p>
    <w:p w14:paraId="15728B69" w14:textId="77777777" w:rsidR="00D36577" w:rsidRDefault="00D36577" w:rsidP="008661CA">
      <w:pPr>
        <w:pStyle w:val="BodyText"/>
        <w:rPr>
          <w:lang w:val="en-US"/>
        </w:rPr>
      </w:pPr>
      <w:r w:rsidRPr="00D36577">
        <w:rPr>
          <w:noProof/>
          <w:lang w:val="en-US" w:eastAsia="ja-JP"/>
        </w:rPr>
        <mc:AlternateContent>
          <mc:Choice Requires="wps">
            <w:drawing>
              <wp:inline distT="0" distB="0" distL="0" distR="0" wp14:anchorId="168A84AD" wp14:editId="5B10AAF3">
                <wp:extent cx="6264275" cy="1143608"/>
                <wp:effectExtent l="0" t="0" r="22225"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1143608"/>
                        </a:xfrm>
                        <a:prstGeom prst="rect">
                          <a:avLst/>
                        </a:prstGeom>
                        <a:solidFill>
                          <a:srgbClr val="FFFFFF"/>
                        </a:solidFill>
                        <a:ln w="9525">
                          <a:solidFill>
                            <a:srgbClr val="000000"/>
                          </a:solidFill>
                          <a:miter lim="800000"/>
                          <a:headEnd/>
                          <a:tailEnd/>
                        </a:ln>
                      </wps:spPr>
                      <wps:txbx>
                        <w:txbxContent>
                          <w:p w14:paraId="46ADC06D" w14:textId="77777777" w:rsidR="00D36577" w:rsidRPr="00A81690" w:rsidRDefault="00D36577" w:rsidP="00D36577">
                            <w:pPr>
                              <w:rPr>
                                <w:rFonts w:ascii="Times" w:eastAsia="MS Mincho" w:hAnsi="Times"/>
                                <w:lang w:val="en-US" w:eastAsia="ja-JP"/>
                              </w:rPr>
                            </w:pPr>
                            <w:r w:rsidRPr="00A81690">
                              <w:rPr>
                                <w:rFonts w:ascii="Times" w:eastAsia="MS Mincho" w:hAnsi="Times"/>
                                <w:highlight w:val="green"/>
                                <w:lang w:val="en-US" w:eastAsia="ja-JP"/>
                              </w:rPr>
                              <w:t>Agreement:</w:t>
                            </w:r>
                          </w:p>
                          <w:p w14:paraId="12BBFF2D" w14:textId="77777777" w:rsidR="00D36577" w:rsidRPr="00A81690" w:rsidRDefault="00D36577" w:rsidP="00D36577">
                            <w:pPr>
                              <w:numPr>
                                <w:ilvl w:val="0"/>
                                <w:numId w:val="10"/>
                              </w:numPr>
                              <w:rPr>
                                <w:rFonts w:ascii="Times" w:eastAsia="MS Mincho" w:hAnsi="Times"/>
                                <w:lang w:val="en-US" w:eastAsia="ja-JP"/>
                              </w:rPr>
                            </w:pPr>
                            <w:r w:rsidRPr="00A81690">
                              <w:rPr>
                                <w:rFonts w:ascii="Times" w:eastAsia="MS Mincho" w:hAnsi="Times"/>
                                <w:lang w:val="en-US" w:eastAsia="ja-JP"/>
                              </w:rPr>
                              <w:t>For the definition of beam correspondence:</w:t>
                            </w:r>
                          </w:p>
                          <w:p w14:paraId="51391233" w14:textId="77777777" w:rsidR="00D36577" w:rsidRPr="00A81690" w:rsidRDefault="00D36577" w:rsidP="00D36577">
                            <w:pPr>
                              <w:numPr>
                                <w:ilvl w:val="1"/>
                                <w:numId w:val="10"/>
                              </w:numPr>
                              <w:rPr>
                                <w:rFonts w:ascii="Times" w:eastAsia="MS Mincho" w:hAnsi="Times"/>
                                <w:lang w:val="en-US" w:eastAsia="ja-JP"/>
                              </w:rPr>
                            </w:pPr>
                            <w:r w:rsidRPr="00A81690">
                              <w:rPr>
                                <w:rFonts w:ascii="Times" w:eastAsia="MS Mincho" w:hAnsi="Times"/>
                                <w:lang w:val="en-US" w:eastAsia="ja-JP"/>
                              </w:rPr>
                              <w:t>Confirm the previous working assumption of the definition</w:t>
                            </w:r>
                          </w:p>
                          <w:p w14:paraId="157C18DA" w14:textId="77777777" w:rsidR="00D36577" w:rsidRDefault="00D36577" w:rsidP="00D36577">
                            <w:pPr>
                              <w:numPr>
                                <w:ilvl w:val="2"/>
                                <w:numId w:val="10"/>
                              </w:numPr>
                              <w:rPr>
                                <w:rFonts w:ascii="Times" w:eastAsia="MS Mincho" w:hAnsi="Times"/>
                                <w:lang w:val="en-US" w:eastAsia="ja-JP"/>
                              </w:rPr>
                            </w:pPr>
                            <w:r w:rsidRPr="00A81690">
                              <w:rPr>
                                <w:rFonts w:ascii="Times" w:eastAsia="MS Mincho" w:hAnsi="Times"/>
                                <w:lang w:val="en-US" w:eastAsia="ja-JP"/>
                              </w:rPr>
                              <w:t>Note: this definition/terminology is for convenience of discussion</w:t>
                            </w:r>
                          </w:p>
                          <w:p w14:paraId="54D2335E" w14:textId="77777777" w:rsidR="00D36577" w:rsidRPr="00A81690" w:rsidRDefault="00D36577" w:rsidP="00D36577">
                            <w:pPr>
                              <w:numPr>
                                <w:ilvl w:val="1"/>
                                <w:numId w:val="10"/>
                              </w:numPr>
                              <w:rPr>
                                <w:rFonts w:ascii="Times" w:eastAsia="MS Mincho" w:hAnsi="Times"/>
                                <w:lang w:val="en-US" w:eastAsia="ja-JP"/>
                              </w:rPr>
                            </w:pPr>
                            <w:r w:rsidRPr="00A81690">
                              <w:rPr>
                                <w:rFonts w:ascii="Times" w:eastAsia="MS Mincho" w:hAnsi="Times"/>
                                <w:lang w:val="en-US" w:eastAsia="ja-JP"/>
                              </w:rPr>
                              <w:t>The detailed performance conditions are up to RAN4</w:t>
                            </w:r>
                          </w:p>
                        </w:txbxContent>
                      </wps:txbx>
                      <wps:bodyPr rot="0" vert="horz" wrap="square" lIns="91440" tIns="45720" rIns="91440" bIns="45720" anchor="t" anchorCtr="0">
                        <a:spAutoFit/>
                      </wps:bodyPr>
                    </wps:wsp>
                  </a:graphicData>
                </a:graphic>
              </wp:inline>
            </w:drawing>
          </mc:Choice>
          <mc:Fallback>
            <w:pict>
              <v:shape w14:anchorId="5669C105" id="_x0000_s1027" type="#_x0000_t202" style="width:493.25pt;height:9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">
                <v:textbox style="mso-fit-shape-to-text:t">
                  <w:txbxContent>
                    <w:p w:rsidR="00D36577" w:rsidRPr="00A81690" w:rsidRDefault="00D36577" w:rsidP="00D36577">
                      <w:pPr>
                        <w:rPr>
                          <w:rFonts w:ascii="Times" w:eastAsia="MS Mincho" w:hAnsi="Times"/>
                          <w:lang w:val="en-US" w:eastAsia="ja-JP"/>
                        </w:rPr>
                      </w:pPr>
                      <w:r w:rsidRPr="00A81690">
                        <w:rPr>
                          <w:rFonts w:ascii="Times" w:eastAsia="MS Mincho" w:hAnsi="Times"/>
                          <w:highlight w:val="green"/>
                          <w:lang w:val="en-US" w:eastAsia="ja-JP"/>
                        </w:rPr>
                        <w:t>Agreement:</w:t>
                      </w:r>
                    </w:p>
                    <w:p w:rsidR="00D36577" w:rsidRPr="00A81690" w:rsidRDefault="00D36577" w:rsidP="00D36577">
                      <w:pPr>
                        <w:numPr>
                          <w:ilvl w:val="0"/>
                          <w:numId w:val="10"/>
                        </w:numPr>
                        <w:rPr>
                          <w:rFonts w:ascii="Times" w:eastAsia="MS Mincho" w:hAnsi="Times"/>
                          <w:lang w:val="en-US" w:eastAsia="ja-JP"/>
                        </w:rPr>
                      </w:pPr>
                      <w:r w:rsidRPr="00A81690">
                        <w:rPr>
                          <w:rFonts w:ascii="Times" w:eastAsia="MS Mincho" w:hAnsi="Times"/>
                          <w:lang w:val="en-US" w:eastAsia="ja-JP"/>
                        </w:rPr>
                        <w:t>For the definition of beam correspondence:</w:t>
                      </w:r>
                    </w:p>
                    <w:p w:rsidR="00D36577" w:rsidRPr="00A81690" w:rsidRDefault="00D36577" w:rsidP="00D36577">
                      <w:pPr>
                        <w:numPr>
                          <w:ilvl w:val="1"/>
                          <w:numId w:val="10"/>
                        </w:numPr>
                        <w:rPr>
                          <w:rFonts w:ascii="Times" w:eastAsia="MS Mincho" w:hAnsi="Times"/>
                          <w:lang w:val="en-US" w:eastAsia="ja-JP"/>
                        </w:rPr>
                      </w:pPr>
                      <w:r w:rsidRPr="00A81690">
                        <w:rPr>
                          <w:rFonts w:ascii="Times" w:eastAsia="MS Mincho" w:hAnsi="Times"/>
                          <w:lang w:val="en-US" w:eastAsia="ja-JP"/>
                        </w:rPr>
                        <w:t>Confirm the previous working assumption of the definition</w:t>
                      </w:r>
                    </w:p>
                    <w:p w:rsidR="00D36577" w:rsidRDefault="00D36577" w:rsidP="00D36577">
                      <w:pPr>
                        <w:numPr>
                          <w:ilvl w:val="2"/>
                          <w:numId w:val="10"/>
                        </w:numPr>
                        <w:rPr>
                          <w:rFonts w:ascii="Times" w:eastAsia="MS Mincho" w:hAnsi="Times"/>
                          <w:lang w:val="en-US" w:eastAsia="ja-JP"/>
                        </w:rPr>
                      </w:pPr>
                      <w:r w:rsidRPr="00A81690">
                        <w:rPr>
                          <w:rFonts w:ascii="Times" w:eastAsia="MS Mincho" w:hAnsi="Times"/>
                          <w:lang w:val="en-US" w:eastAsia="ja-JP"/>
                        </w:rPr>
                        <w:t>Note: this definition/terminology is for convenience of discussion</w:t>
                      </w:r>
                    </w:p>
                    <w:p w:rsidR="00D36577" w:rsidRPr="00A81690" w:rsidRDefault="00D36577" w:rsidP="00D36577">
                      <w:pPr>
                        <w:numPr>
                          <w:ilvl w:val="1"/>
                          <w:numId w:val="10"/>
                        </w:numPr>
                        <w:rPr>
                          <w:rFonts w:ascii="Times" w:eastAsia="MS Mincho" w:hAnsi="Times"/>
                          <w:lang w:val="en-US" w:eastAsia="ja-JP"/>
                        </w:rPr>
                      </w:pPr>
                      <w:r w:rsidRPr="00A81690">
                        <w:rPr>
                          <w:rFonts w:ascii="Times" w:eastAsia="MS Mincho" w:hAnsi="Times"/>
                          <w:lang w:val="en-US" w:eastAsia="ja-JP"/>
                        </w:rPr>
                        <w:t>The detailed performance conditions are up to RAN4</w:t>
                      </w:r>
                    </w:p>
                  </w:txbxContent>
                </v:textbox>
                <w10:anchorlock/>
              </v:shape>
            </w:pict>
          </mc:Fallback>
        </mc:AlternateContent>
      </w:r>
    </w:p>
    <w:p w14:paraId="665B0A91" w14:textId="69623B0A" w:rsidR="00A6239C" w:rsidRDefault="00E73C40" w:rsidP="00545A8B">
      <w:pPr>
        <w:pStyle w:val="BodyText"/>
        <w:rPr>
          <w:lang w:val="en-US"/>
        </w:rPr>
      </w:pPr>
      <w:r>
        <w:rPr>
          <w:lang w:val="en-US"/>
        </w:rPr>
        <w:t xml:space="preserve">Besides the discussion in RAN4 </w:t>
      </w:r>
      <w:r w:rsidR="002851CA">
        <w:rPr>
          <w:lang w:val="en-US"/>
        </w:rPr>
        <w:t xml:space="preserve">how to verify beam correspondence </w:t>
      </w:r>
      <w:r w:rsidR="00D36577">
        <w:rPr>
          <w:lang w:val="en-US"/>
        </w:rPr>
        <w:t xml:space="preserve">and performance metrics </w:t>
      </w:r>
      <w:r w:rsidR="002851CA">
        <w:rPr>
          <w:lang w:val="en-US"/>
        </w:rPr>
        <w:t>i</w:t>
      </w:r>
      <w:r w:rsidR="0031293C">
        <w:rPr>
          <w:lang w:val="en-US"/>
        </w:rPr>
        <w:t xml:space="preserve">t has been proposed that if beam correspondence applies </w:t>
      </w:r>
      <w:r w:rsidR="001C3DA0">
        <w:rPr>
          <w:lang w:val="en-US"/>
        </w:rPr>
        <w:t xml:space="preserve">and if EIRP spherical coverage (CDF) is tested, </w:t>
      </w:r>
      <w:r w:rsidR="0031293C">
        <w:rPr>
          <w:lang w:val="en-US"/>
        </w:rPr>
        <w:t xml:space="preserve">then </w:t>
      </w:r>
      <w:r w:rsidR="001C3DA0" w:rsidRPr="001C3DA0">
        <w:rPr>
          <w:lang w:val="en-US"/>
        </w:rPr>
        <w:t xml:space="preserve">additional </w:t>
      </w:r>
      <w:r w:rsidR="001C3DA0">
        <w:rPr>
          <w:lang w:val="en-US"/>
        </w:rPr>
        <w:t xml:space="preserve">EIS </w:t>
      </w:r>
      <w:r w:rsidR="00D36577">
        <w:rPr>
          <w:lang w:val="en-US"/>
        </w:rPr>
        <w:t>spherical</w:t>
      </w:r>
      <w:r w:rsidR="001C3DA0" w:rsidRPr="001C3DA0">
        <w:rPr>
          <w:lang w:val="en-US"/>
        </w:rPr>
        <w:t xml:space="preserve"> coverage verification </w:t>
      </w:r>
      <w:r w:rsidR="00D36577">
        <w:rPr>
          <w:lang w:val="en-US"/>
        </w:rPr>
        <w:t xml:space="preserve">(CDF) </w:t>
      </w:r>
      <w:r w:rsidR="001C3DA0">
        <w:rPr>
          <w:lang w:val="en-US"/>
        </w:rPr>
        <w:t xml:space="preserve">could be </w:t>
      </w:r>
      <w:r w:rsidR="007F4794">
        <w:rPr>
          <w:lang w:val="en-US"/>
        </w:rPr>
        <w:t>simplified</w:t>
      </w:r>
      <w:r w:rsidR="00313204">
        <w:rPr>
          <w:lang w:val="en-US"/>
        </w:rPr>
        <w:t xml:space="preserve"> </w:t>
      </w:r>
      <w:r w:rsidR="00313204">
        <w:rPr>
          <w:lang w:val="en-US"/>
        </w:rPr>
        <w:fldChar w:fldCharType="begin"/>
      </w:r>
      <w:r w:rsidR="00313204">
        <w:rPr>
          <w:lang w:val="en-US"/>
        </w:rPr>
        <w:instrText xml:space="preserve"> REF _Ref510711298 \r \h </w:instrText>
      </w:r>
      <w:r w:rsidR="00313204">
        <w:rPr>
          <w:lang w:val="en-US"/>
        </w:rPr>
      </w:r>
      <w:r w:rsidR="00313204">
        <w:rPr>
          <w:lang w:val="en-US"/>
        </w:rPr>
        <w:fldChar w:fldCharType="separate"/>
      </w:r>
      <w:r w:rsidR="00A345D4">
        <w:rPr>
          <w:lang w:val="en-US"/>
        </w:rPr>
        <w:t>[7]</w:t>
      </w:r>
      <w:r w:rsidR="00313204">
        <w:rPr>
          <w:lang w:val="en-US"/>
        </w:rPr>
        <w:fldChar w:fldCharType="end"/>
      </w:r>
      <w:r w:rsidR="001C3DA0" w:rsidRPr="001C3DA0">
        <w:rPr>
          <w:lang w:val="en-US"/>
        </w:rPr>
        <w:t>.</w:t>
      </w:r>
      <w:r w:rsidR="001C3DA0">
        <w:rPr>
          <w:lang w:val="en-US"/>
        </w:rPr>
        <w:t xml:space="preserve"> In this document we will show that</w:t>
      </w:r>
      <w:r w:rsidR="00EE536F">
        <w:rPr>
          <w:lang w:val="en-US"/>
        </w:rPr>
        <w:t>,</w:t>
      </w:r>
      <w:r w:rsidR="00EE536F" w:rsidRPr="00EE536F">
        <w:rPr>
          <w:lang w:val="en-US"/>
        </w:rPr>
        <w:t xml:space="preserve"> </w:t>
      </w:r>
      <w:r w:rsidR="00EE536F">
        <w:rPr>
          <w:lang w:val="en-US"/>
        </w:rPr>
        <w:t xml:space="preserve">although the UE’s best UL beam coincides with its best DL beam (beam </w:t>
      </w:r>
      <w:r w:rsidR="00F02448">
        <w:rPr>
          <w:lang w:val="en-US"/>
        </w:rPr>
        <w:t>correspondence</w:t>
      </w:r>
      <w:r w:rsidR="00EE536F">
        <w:rPr>
          <w:lang w:val="en-US"/>
        </w:rPr>
        <w:t>),</w:t>
      </w:r>
      <w:r w:rsidR="001C3DA0">
        <w:rPr>
          <w:lang w:val="en-US"/>
        </w:rPr>
        <w:t xml:space="preserve"> there exists possible implementations where </w:t>
      </w:r>
      <w:r w:rsidR="00DC7AA1">
        <w:rPr>
          <w:lang w:val="en-US"/>
        </w:rPr>
        <w:t>EIS spherical</w:t>
      </w:r>
      <w:r w:rsidR="00DC7AA1" w:rsidRPr="001C3DA0">
        <w:rPr>
          <w:lang w:val="en-US"/>
        </w:rPr>
        <w:t xml:space="preserve"> coverage</w:t>
      </w:r>
      <w:r w:rsidR="00507FCB">
        <w:rPr>
          <w:lang w:val="en-US"/>
        </w:rPr>
        <w:t xml:space="preserve"> performance</w:t>
      </w:r>
      <w:r w:rsidR="00DC7AA1">
        <w:rPr>
          <w:lang w:val="en-US"/>
        </w:rPr>
        <w:t xml:space="preserve"> </w:t>
      </w:r>
      <w:r w:rsidR="00507FCB">
        <w:rPr>
          <w:lang w:val="en-US"/>
        </w:rPr>
        <w:t>can</w:t>
      </w:r>
      <w:r w:rsidR="00DC7AA1">
        <w:rPr>
          <w:lang w:val="en-US"/>
        </w:rPr>
        <w:t xml:space="preserve">not be </w:t>
      </w:r>
      <w:r w:rsidR="00507FCB">
        <w:rPr>
          <w:lang w:val="en-US"/>
        </w:rPr>
        <w:t>deduced from</w:t>
      </w:r>
      <w:r w:rsidR="00DC7AA1">
        <w:rPr>
          <w:lang w:val="en-US"/>
        </w:rPr>
        <w:t xml:space="preserve"> EIRP spherical</w:t>
      </w:r>
      <w:r w:rsidR="00DC7AA1" w:rsidRPr="001C3DA0">
        <w:rPr>
          <w:lang w:val="en-US"/>
        </w:rPr>
        <w:t xml:space="preserve"> coverage</w:t>
      </w:r>
      <w:r w:rsidR="00507FCB">
        <w:rPr>
          <w:lang w:val="en-US"/>
        </w:rPr>
        <w:t xml:space="preserve"> performance.</w:t>
      </w:r>
    </w:p>
    <w:p w14:paraId="4DB14B32" w14:textId="77777777" w:rsidR="000C2364" w:rsidRDefault="008661CA" w:rsidP="000C2364">
      <w:pPr>
        <w:pStyle w:val="Heading1"/>
        <w:keepLines/>
        <w:pBdr>
          <w:top w:val="single" w:sz="12" w:space="3" w:color="auto"/>
        </w:pBdr>
        <w:overflowPunct w:val="0"/>
        <w:autoSpaceDE w:val="0"/>
        <w:autoSpaceDN w:val="0"/>
        <w:adjustRightInd w:val="0"/>
        <w:spacing w:after="180"/>
        <w:ind w:right="0"/>
        <w:textAlignment w:val="baseline"/>
      </w:pPr>
      <w:r>
        <w:t>Discussion</w:t>
      </w:r>
    </w:p>
    <w:p w14:paraId="259E93EF" w14:textId="56915F59" w:rsidR="00667643" w:rsidRDefault="00E57072" w:rsidP="008661CA">
      <w:pPr>
        <w:pStyle w:val="BodyText"/>
      </w:pPr>
      <w:r>
        <w:t>B</w:t>
      </w:r>
      <w:r w:rsidR="00BB2922">
        <w:t>eam correspondence could be interpreted as</w:t>
      </w:r>
      <w:r w:rsidR="008661CA">
        <w:t xml:space="preserve"> </w:t>
      </w:r>
      <w:r w:rsidR="00B63718">
        <w:t xml:space="preserve">the UE ability </w:t>
      </w:r>
      <w:r w:rsidR="00764F01">
        <w:t>of</w:t>
      </w:r>
      <w:r w:rsidR="008661CA">
        <w:t xml:space="preserve"> </w:t>
      </w:r>
      <w:r w:rsidR="00764F01">
        <w:t>optimally</w:t>
      </w:r>
      <w:r w:rsidR="00F02448">
        <w:t xml:space="preserve"> </w:t>
      </w:r>
      <w:r w:rsidR="00764F01">
        <w:t>deciding the most favourable</w:t>
      </w:r>
      <w:r w:rsidR="008661CA">
        <w:t xml:space="preserve"> </w:t>
      </w:r>
      <w:r w:rsidR="00B63718">
        <w:t xml:space="preserve">UL beam </w:t>
      </w:r>
      <w:r w:rsidR="00764F01">
        <w:t>from its most favourable DL beam,</w:t>
      </w:r>
      <w:r w:rsidR="00667643">
        <w:t xml:space="preserve"> </w:t>
      </w:r>
      <w:r w:rsidR="00795EF0">
        <w:t xml:space="preserve">This </w:t>
      </w:r>
      <w:r w:rsidR="00764F01">
        <w:t>occurs whenever</w:t>
      </w:r>
      <w:r w:rsidR="00795EF0">
        <w:t xml:space="preserve"> the</w:t>
      </w:r>
      <w:r w:rsidR="008661CA">
        <w:t xml:space="preserve"> AoA </w:t>
      </w:r>
      <w:r w:rsidR="00795EF0">
        <w:t>of</w:t>
      </w:r>
      <w:r w:rsidR="008661CA">
        <w:t xml:space="preserve"> RX and </w:t>
      </w:r>
      <w:r w:rsidR="00795EF0">
        <w:t xml:space="preserve">AoD of </w:t>
      </w:r>
      <w:r w:rsidR="008661CA">
        <w:t>TX beams</w:t>
      </w:r>
      <w:r w:rsidR="00667643">
        <w:t xml:space="preserve"> </w:t>
      </w:r>
      <w:r w:rsidR="00764F01">
        <w:t>coincide</w:t>
      </w:r>
      <w:r w:rsidR="00686C93">
        <w:t xml:space="preserve">. </w:t>
      </w:r>
      <w:r w:rsidR="00195F79">
        <w:t xml:space="preserve">If beam correspondence applies, and could be </w:t>
      </w:r>
      <w:r w:rsidR="00764F01">
        <w:t xml:space="preserve">formally </w:t>
      </w:r>
      <w:r w:rsidR="00195F79">
        <w:t>declared</w:t>
      </w:r>
      <w:r w:rsidR="00764F01">
        <w:t>,</w:t>
      </w:r>
      <w:r w:rsidR="00195F79">
        <w:t xml:space="preserve"> the beam management process could be simplified.</w:t>
      </w:r>
    </w:p>
    <w:p w14:paraId="4F9DF856" w14:textId="0467A05D" w:rsidR="00195F79" w:rsidRDefault="00764F01" w:rsidP="008661CA">
      <w:pPr>
        <w:pStyle w:val="BodyText"/>
      </w:pPr>
      <w:r>
        <w:t>P</w:t>
      </w:r>
      <w:r w:rsidR="00686C93">
        <w:t xml:space="preserve">erformance metrics and </w:t>
      </w:r>
      <w:r w:rsidR="00E57072">
        <w:t xml:space="preserve">test methods </w:t>
      </w:r>
      <w:r w:rsidR="00667643">
        <w:t xml:space="preserve">to verify beam correspondence </w:t>
      </w:r>
      <w:r w:rsidR="00E57072">
        <w:t>have been proposed</w:t>
      </w:r>
      <w:r w:rsidR="00667643">
        <w:t xml:space="preserve"> and discussed</w:t>
      </w:r>
      <w:r w:rsidR="00143897">
        <w:t xml:space="preserve"> in RAN4</w:t>
      </w:r>
      <w:r w:rsidR="00667643">
        <w:t xml:space="preserve"> </w:t>
      </w:r>
      <w:r w:rsidR="00F257DD">
        <w:fldChar w:fldCharType="begin"/>
      </w:r>
      <w:r w:rsidR="00F257DD">
        <w:instrText xml:space="preserve"> REF _Ref508807149 \r \h </w:instrText>
      </w:r>
      <w:r w:rsidR="00F257DD">
        <w:fldChar w:fldCharType="separate"/>
      </w:r>
      <w:r w:rsidR="00A345D4">
        <w:t>[4]</w:t>
      </w:r>
      <w:r w:rsidR="00F257DD">
        <w:fldChar w:fldCharType="end"/>
      </w:r>
      <w:r w:rsidR="00F257DD">
        <w:t xml:space="preserve">, </w:t>
      </w:r>
      <w:r w:rsidR="00F257DD">
        <w:fldChar w:fldCharType="begin"/>
      </w:r>
      <w:r w:rsidR="00F257DD">
        <w:instrText xml:space="preserve"> REF _Ref508807160 \r \h </w:instrText>
      </w:r>
      <w:r w:rsidR="00F257DD">
        <w:fldChar w:fldCharType="separate"/>
      </w:r>
      <w:r w:rsidR="00A345D4">
        <w:t>[5]</w:t>
      </w:r>
      <w:r w:rsidR="00F257DD">
        <w:fldChar w:fldCharType="end"/>
      </w:r>
      <w:r w:rsidR="00F257DD">
        <w:t xml:space="preserve"> </w:t>
      </w:r>
      <w:r w:rsidR="00F257DD">
        <w:fldChar w:fldCharType="begin"/>
      </w:r>
      <w:r w:rsidR="00F257DD">
        <w:instrText xml:space="preserve"> REF _Ref508807167 \r \h </w:instrText>
      </w:r>
      <w:r w:rsidR="00F257DD">
        <w:fldChar w:fldCharType="separate"/>
      </w:r>
      <w:r w:rsidR="00A345D4">
        <w:t>[6]</w:t>
      </w:r>
      <w:r w:rsidR="00F257DD">
        <w:fldChar w:fldCharType="end"/>
      </w:r>
      <w:r w:rsidR="00F257DD">
        <w:t>.</w:t>
      </w:r>
      <w:r w:rsidR="007F4794">
        <w:t xml:space="preserve"> </w:t>
      </w:r>
    </w:p>
    <w:p w14:paraId="7A4CE423" w14:textId="77777777" w:rsidR="00DD3B70" w:rsidRDefault="00DD3B70" w:rsidP="00DD3B70">
      <w:pPr>
        <w:jc w:val="both"/>
        <w:rPr>
          <w:lang w:val="en-US"/>
        </w:rPr>
      </w:pPr>
      <w:r>
        <w:rPr>
          <w:lang w:val="en-US"/>
        </w:rPr>
        <w:t>A simple mathematical description of beam correspondence is described</w:t>
      </w:r>
      <w:r w:rsidR="003C55FE">
        <w:rPr>
          <w:lang w:val="en-US"/>
        </w:rPr>
        <w:t xml:space="preserve"> in</w:t>
      </w:r>
      <w:r>
        <w:rPr>
          <w:lang w:val="en-US"/>
        </w:rPr>
        <w:t xml:space="preserve"> </w:t>
      </w:r>
      <w:r w:rsidR="003C55FE">
        <w:rPr>
          <w:lang w:val="en-US"/>
        </w:rPr>
        <w:fldChar w:fldCharType="begin"/>
      </w:r>
      <w:r w:rsidR="003C55FE">
        <w:rPr>
          <w:lang w:val="en-US"/>
        </w:rPr>
        <w:instrText xml:space="preserve"> REF _Ref508883153 \r \h </w:instrText>
      </w:r>
      <w:r w:rsidR="003C55FE">
        <w:rPr>
          <w:lang w:val="en-US"/>
        </w:rPr>
      </w:r>
      <w:r w:rsidR="003C55FE">
        <w:rPr>
          <w:lang w:val="en-US"/>
        </w:rPr>
        <w:fldChar w:fldCharType="separate"/>
      </w:r>
      <w:r w:rsidR="00A345D4">
        <w:rPr>
          <w:lang w:val="en-US"/>
        </w:rPr>
        <w:t>[9]</w:t>
      </w:r>
      <w:r w:rsidR="003C55FE">
        <w:rPr>
          <w:lang w:val="en-US"/>
        </w:rPr>
        <w:fldChar w:fldCharType="end"/>
      </w:r>
      <w:r w:rsidR="003C55FE">
        <w:rPr>
          <w:lang w:val="en-US"/>
        </w:rPr>
        <w:t xml:space="preserve"> and </w:t>
      </w:r>
      <w:r w:rsidR="00E52A57">
        <w:rPr>
          <w:lang w:val="en-US"/>
        </w:rPr>
        <w:t>further developed</w:t>
      </w:r>
      <w:r w:rsidR="003C55FE">
        <w:rPr>
          <w:lang w:val="en-US"/>
        </w:rPr>
        <w:t xml:space="preserve"> </w:t>
      </w:r>
      <w:r>
        <w:rPr>
          <w:lang w:val="en-US"/>
        </w:rPr>
        <w:t>below:</w:t>
      </w:r>
    </w:p>
    <w:p w14:paraId="72D91E4E" w14:textId="77777777" w:rsidR="007341AB" w:rsidRPr="00020954" w:rsidRDefault="00EE2BCA" w:rsidP="008846AE">
      <w:pPr>
        <w:pStyle w:val="BodyText"/>
        <w:spacing w:before="120"/>
        <w:ind w:left="709"/>
        <w:jc w:val="both"/>
        <w:rPr>
          <w:lang w:val="en-US"/>
        </w:rPr>
      </w:pPr>
      <m:oMathPara>
        <m:oMathParaPr>
          <m:jc m:val="left"/>
        </m:oMathParaPr>
        <m:oMath>
          <m:sSub>
            <m:sSubPr>
              <m:ctrlPr>
                <w:rPr>
                  <w:rFonts w:ascii="Cambria Math" w:hAnsi="Cambria Math"/>
                  <w:i/>
                  <w:iCs/>
                  <w:lang w:val="en-US"/>
                </w:rPr>
              </m:ctrlPr>
            </m:sSubPr>
            <m:e>
              <m:r>
                <w:rPr>
                  <w:rFonts w:ascii="Cambria Math" w:hAnsi="Cambria Math"/>
                  <w:lang w:val="sv-SE"/>
                </w:rPr>
                <m:t>y</m:t>
              </m:r>
            </m:e>
            <m:sub>
              <m:r>
                <w:rPr>
                  <w:rFonts w:ascii="Cambria Math" w:hAnsi="Cambria Math"/>
                  <w:lang w:val="sv-SE"/>
                </w:rPr>
                <m:t>DL</m:t>
              </m:r>
            </m:sub>
          </m:sSub>
          <m:r>
            <w:rPr>
              <w:rFonts w:ascii="Cambria Math" w:hAnsi="Cambria Math"/>
              <w:lang w:val="sv-SE"/>
            </w:rPr>
            <m:t>=</m:t>
          </m:r>
          <m:sSub>
            <m:sSubPr>
              <m:ctrlPr>
                <w:rPr>
                  <w:rFonts w:ascii="Cambria Math" w:hAnsi="Cambria Math"/>
                  <w:i/>
                  <w:iCs/>
                  <w:lang w:val="sv-SE"/>
                </w:rPr>
              </m:ctrlPr>
            </m:sSubPr>
            <m:e>
              <m:sSub>
                <m:sSubPr>
                  <m:ctrlPr>
                    <w:rPr>
                      <w:rFonts w:ascii="Cambria Math" w:hAnsi="Cambria Math"/>
                      <w:i/>
                      <w:iCs/>
                      <w:lang w:val="sv-SE"/>
                    </w:rPr>
                  </m:ctrlPr>
                </m:sSubPr>
                <m:e>
                  <m:sSub>
                    <m:sSubPr>
                      <m:ctrlPr>
                        <w:rPr>
                          <w:rFonts w:ascii="Cambria Math" w:hAnsi="Cambria Math"/>
                          <w:i/>
                          <w:iCs/>
                          <w:lang w:val="sv-SE"/>
                        </w:rPr>
                      </m:ctrlPr>
                    </m:sSubPr>
                    <m:e>
                      <m:sSubSup>
                        <m:sSubSupPr>
                          <m:ctrlPr>
                            <w:rPr>
                              <w:rFonts w:ascii="Cambria Math" w:hAnsi="Cambria Math"/>
                              <w:i/>
                              <w:iCs/>
                              <w:lang w:val="sv-SE"/>
                            </w:rPr>
                          </m:ctrlPr>
                        </m:sSubSupPr>
                        <m:e>
                          <m:r>
                            <m:rPr>
                              <m:sty m:val="bi"/>
                            </m:rPr>
                            <w:rPr>
                              <w:rFonts w:ascii="Cambria Math" w:hAnsi="Cambria Math"/>
                              <w:lang w:val="sv-SE"/>
                            </w:rPr>
                            <m:t>w</m:t>
                          </m:r>
                        </m:e>
                        <m:sub>
                          <m:r>
                            <w:rPr>
                              <w:rFonts w:ascii="Cambria Math" w:hAnsi="Cambria Math"/>
                              <w:lang w:val="sv-SE"/>
                            </w:rPr>
                            <m:t>UE</m:t>
                          </m:r>
                        </m:sub>
                        <m:sup>
                          <m:r>
                            <m:rPr>
                              <m:sty m:val="p"/>
                            </m:rPr>
                            <w:rPr>
                              <w:rFonts w:ascii="Cambria Math" w:hAnsi="Cambria Math"/>
                              <w:lang w:val="sv-SE"/>
                            </w:rPr>
                            <m:t>T</m:t>
                          </m:r>
                        </m:sup>
                      </m:sSubSup>
                      <m:sSub>
                        <m:sSubPr>
                          <m:ctrlPr>
                            <w:rPr>
                              <w:rFonts w:ascii="Cambria Math" w:hAnsi="Cambria Math"/>
                              <w:i/>
                              <w:iCs/>
                              <w:lang w:val="sv-SE"/>
                            </w:rPr>
                          </m:ctrlPr>
                        </m:sSubPr>
                        <m:e>
                          <m:r>
                            <m:rPr>
                              <m:sty m:val="bi"/>
                            </m:rPr>
                            <w:rPr>
                              <w:rFonts w:ascii="Cambria Math" w:hAnsi="Cambria Math"/>
                              <w:lang w:val="sv-SE"/>
                            </w:rPr>
                            <m:t>R</m:t>
                          </m:r>
                        </m:e>
                        <m:sub>
                          <m:r>
                            <w:rPr>
                              <w:rFonts w:ascii="Cambria Math" w:hAnsi="Cambria Math"/>
                              <w:lang w:val="sv-SE"/>
                            </w:rPr>
                            <m:t>UE</m:t>
                          </m:r>
                        </m:sub>
                      </m:sSub>
                      <m:r>
                        <m:rPr>
                          <m:sty m:val="bi"/>
                        </m:rPr>
                        <w:rPr>
                          <w:rFonts w:ascii="Cambria Math" w:hAnsi="Cambria Math"/>
                          <w:lang w:val="sv-SE"/>
                        </w:rPr>
                        <m:t>H</m:t>
                      </m:r>
                    </m:e>
                    <m:sub>
                      <m:r>
                        <w:rPr>
                          <w:rFonts w:ascii="Cambria Math" w:hAnsi="Cambria Math"/>
                          <w:lang w:val="sv-SE"/>
                        </w:rPr>
                        <m:t>DL</m:t>
                      </m:r>
                    </m:sub>
                  </m:sSub>
                  <m:r>
                    <m:rPr>
                      <m:sty m:val="bi"/>
                    </m:rPr>
                    <w:rPr>
                      <w:rFonts w:ascii="Cambria Math" w:hAnsi="Cambria Math"/>
                      <w:lang w:val="sv-SE"/>
                    </w:rPr>
                    <m:t>T</m:t>
                  </m:r>
                </m:e>
                <m:sub>
                  <m:r>
                    <w:rPr>
                      <w:rFonts w:ascii="Cambria Math" w:hAnsi="Cambria Math"/>
                      <w:lang w:val="sv-SE"/>
                    </w:rPr>
                    <m:t>BS</m:t>
                  </m:r>
                </m:sub>
              </m:sSub>
              <m:r>
                <m:rPr>
                  <m:sty m:val="bi"/>
                </m:rPr>
                <w:rPr>
                  <w:rFonts w:ascii="Cambria Math" w:hAnsi="Cambria Math"/>
                  <w:lang w:val="sv-SE"/>
                </w:rPr>
                <m:t>w</m:t>
              </m:r>
            </m:e>
            <m:sub>
              <m:r>
                <w:rPr>
                  <w:rFonts w:ascii="Cambria Math" w:hAnsi="Cambria Math"/>
                  <w:lang w:val="sv-SE"/>
                </w:rPr>
                <m:t>BS</m:t>
              </m:r>
            </m:sub>
          </m:sSub>
        </m:oMath>
      </m:oMathPara>
    </w:p>
    <w:p w14:paraId="0E6C7F77" w14:textId="77777777" w:rsidR="007341AB" w:rsidRPr="00020954" w:rsidRDefault="00EE2BCA" w:rsidP="003568A5">
      <w:pPr>
        <w:pStyle w:val="BodyText"/>
        <w:ind w:left="709"/>
        <w:jc w:val="both"/>
        <w:rPr>
          <w:rFonts w:ascii="Cambria Math" w:hAnsi="Cambria Math" w:hint="eastAsia"/>
          <w:i/>
          <w:lang w:val="en-US"/>
        </w:rPr>
      </w:pPr>
      <m:oMathPara>
        <m:oMathParaPr>
          <m:jc m:val="left"/>
        </m:oMathParaPr>
        <m:oMath>
          <m:sSub>
            <m:sSubPr>
              <m:ctrlPr>
                <w:rPr>
                  <w:rFonts w:ascii="Cambria Math" w:hAnsi="Cambria Math"/>
                  <w:i/>
                  <w:iCs/>
                  <w:lang w:val="en-US"/>
                </w:rPr>
              </m:ctrlPr>
            </m:sSubPr>
            <m:e>
              <m:r>
                <w:rPr>
                  <w:rFonts w:ascii="Cambria Math" w:hAnsi="Cambria Math"/>
                  <w:lang w:val="sv-SE"/>
                </w:rPr>
                <m:t>y</m:t>
              </m:r>
            </m:e>
            <m:sub>
              <m:r>
                <w:rPr>
                  <w:rFonts w:ascii="Cambria Math" w:hAnsi="Cambria Math"/>
                  <w:lang w:val="sv-SE"/>
                </w:rPr>
                <m:t>UL</m:t>
              </m:r>
            </m:sub>
          </m:sSub>
          <m:r>
            <w:rPr>
              <w:rFonts w:ascii="Cambria Math" w:hAnsi="Cambria Math"/>
              <w:lang w:val="sv-SE"/>
            </w:rPr>
            <m:t>=</m:t>
          </m:r>
          <m:sSub>
            <m:sSubPr>
              <m:ctrlPr>
                <w:rPr>
                  <w:rFonts w:ascii="Cambria Math" w:hAnsi="Cambria Math"/>
                  <w:i/>
                  <w:iCs/>
                  <w:lang w:val="sv-SE"/>
                </w:rPr>
              </m:ctrlPr>
            </m:sSubPr>
            <m:e>
              <m:sSub>
                <m:sSubPr>
                  <m:ctrlPr>
                    <w:rPr>
                      <w:rFonts w:ascii="Cambria Math" w:hAnsi="Cambria Math"/>
                      <w:i/>
                      <w:iCs/>
                      <w:lang w:val="sv-SE"/>
                    </w:rPr>
                  </m:ctrlPr>
                </m:sSubPr>
                <m:e>
                  <m:sSubSup>
                    <m:sSubSupPr>
                      <m:ctrlPr>
                        <w:rPr>
                          <w:rFonts w:ascii="Cambria Math" w:hAnsi="Cambria Math"/>
                          <w:i/>
                          <w:iCs/>
                          <w:lang w:val="sv-SE"/>
                        </w:rPr>
                      </m:ctrlPr>
                    </m:sSubSupPr>
                    <m:e>
                      <m:r>
                        <m:rPr>
                          <m:sty m:val="bi"/>
                        </m:rPr>
                        <w:rPr>
                          <w:rFonts w:ascii="Cambria Math" w:hAnsi="Cambria Math"/>
                          <w:lang w:val="sv-SE"/>
                        </w:rPr>
                        <m:t>w</m:t>
                      </m:r>
                    </m:e>
                    <m:sub>
                      <m:r>
                        <w:rPr>
                          <w:rFonts w:ascii="Cambria Math" w:hAnsi="Cambria Math"/>
                          <w:lang w:val="sv-SE"/>
                        </w:rPr>
                        <m:t>BS</m:t>
                      </m:r>
                    </m:sub>
                    <m:sup>
                      <m:r>
                        <w:rPr>
                          <w:rFonts w:ascii="Cambria Math" w:hAnsi="Cambria Math"/>
                          <w:lang w:val="sv-SE"/>
                        </w:rPr>
                        <m:t>T</m:t>
                      </m:r>
                    </m:sup>
                  </m:sSubSup>
                  <m:sSub>
                    <m:sSubPr>
                      <m:ctrlPr>
                        <w:rPr>
                          <w:rFonts w:ascii="Cambria Math" w:hAnsi="Cambria Math"/>
                          <w:i/>
                          <w:iCs/>
                          <w:lang w:val="sv-SE"/>
                        </w:rPr>
                      </m:ctrlPr>
                    </m:sSubPr>
                    <m:e>
                      <m:r>
                        <m:rPr>
                          <m:sty m:val="bi"/>
                        </m:rPr>
                        <w:rPr>
                          <w:rFonts w:ascii="Cambria Math" w:hAnsi="Cambria Math"/>
                          <w:lang w:val="sv-SE"/>
                        </w:rPr>
                        <m:t>R</m:t>
                      </m:r>
                    </m:e>
                    <m:sub>
                      <m:r>
                        <w:rPr>
                          <w:rFonts w:ascii="Cambria Math" w:hAnsi="Cambria Math"/>
                          <w:lang w:val="sv-SE"/>
                        </w:rPr>
                        <m:t>BS</m:t>
                      </m:r>
                    </m:sub>
                  </m:sSub>
                  <m:sSubSup>
                    <m:sSubSupPr>
                      <m:ctrlPr>
                        <w:rPr>
                          <w:rFonts w:ascii="Cambria Math" w:hAnsi="Cambria Math"/>
                          <w:i/>
                          <w:iCs/>
                          <w:lang w:val="sv-SE"/>
                        </w:rPr>
                      </m:ctrlPr>
                    </m:sSubSupPr>
                    <m:e>
                      <m:r>
                        <m:rPr>
                          <m:sty m:val="bi"/>
                        </m:rPr>
                        <w:rPr>
                          <w:rFonts w:ascii="Cambria Math" w:hAnsi="Cambria Math"/>
                          <w:lang w:val="sv-SE"/>
                        </w:rPr>
                        <m:t>H</m:t>
                      </m:r>
                    </m:e>
                    <m:sub>
                      <m:r>
                        <w:rPr>
                          <w:rFonts w:ascii="Cambria Math" w:hAnsi="Cambria Math"/>
                          <w:lang w:val="sv-SE"/>
                        </w:rPr>
                        <m:t>DL</m:t>
                      </m:r>
                    </m:sub>
                    <m:sup>
                      <m:r>
                        <w:rPr>
                          <w:rFonts w:ascii="Cambria Math" w:hAnsi="Cambria Math"/>
                          <w:lang w:val="sv-SE"/>
                        </w:rPr>
                        <m:t>T</m:t>
                      </m:r>
                    </m:sup>
                  </m:sSubSup>
                  <m:r>
                    <m:rPr>
                      <m:sty m:val="bi"/>
                    </m:rPr>
                    <w:rPr>
                      <w:rFonts w:ascii="Cambria Math" w:hAnsi="Cambria Math"/>
                      <w:lang w:val="sv-SE"/>
                    </w:rPr>
                    <m:t>T</m:t>
                  </m:r>
                </m:e>
                <m:sub>
                  <m:r>
                    <w:rPr>
                      <w:rFonts w:ascii="Cambria Math" w:hAnsi="Cambria Math"/>
                      <w:lang w:val="sv-SE"/>
                    </w:rPr>
                    <m:t>UE</m:t>
                  </m:r>
                </m:sub>
              </m:sSub>
              <m:r>
                <m:rPr>
                  <m:sty m:val="bi"/>
                </m:rPr>
                <w:rPr>
                  <w:rFonts w:ascii="Cambria Math" w:hAnsi="Cambria Math"/>
                  <w:lang w:val="sv-SE"/>
                </w:rPr>
                <m:t>w</m:t>
              </m:r>
            </m:e>
            <m:sub>
              <m:r>
                <w:rPr>
                  <w:rFonts w:ascii="Cambria Math" w:hAnsi="Cambria Math"/>
                  <w:lang w:val="sv-SE"/>
                </w:rPr>
                <m:t>UE</m:t>
              </m:r>
            </m:sub>
          </m:sSub>
        </m:oMath>
      </m:oMathPara>
    </w:p>
    <w:p w14:paraId="7362A5B6" w14:textId="289A12F4" w:rsidR="00020954" w:rsidRPr="00020954" w:rsidRDefault="00020954" w:rsidP="008846AE">
      <w:pPr>
        <w:pStyle w:val="BodyText"/>
        <w:spacing w:before="120"/>
        <w:ind w:left="709" w:hanging="709"/>
        <w:jc w:val="both"/>
        <w:rPr>
          <w:lang w:val="en-US"/>
        </w:rPr>
      </w:pPr>
      <w:r>
        <w:lastRenderedPageBreak/>
        <w:t>Where:</w:t>
      </w:r>
      <w:r w:rsidR="00E52A57">
        <w:tab/>
      </w:r>
      <m:oMath>
        <m:sSub>
          <m:sSubPr>
            <m:ctrlPr>
              <w:rPr>
                <w:rFonts w:ascii="Cambria Math" w:hAnsi="Cambria Math"/>
                <w:i/>
                <w:iCs/>
              </w:rPr>
            </m:ctrlPr>
          </m:sSubPr>
          <m:e>
            <m:r>
              <w:rPr>
                <w:rFonts w:ascii="Cambria Math" w:hAnsi="Cambria Math"/>
                <w:lang w:val="sv-SE"/>
              </w:rPr>
              <m:t>y</m:t>
            </m:r>
          </m:e>
          <m:sub>
            <m:r>
              <w:rPr>
                <w:rFonts w:ascii="Cambria Math" w:hAnsi="Cambria Math"/>
                <w:lang w:val="sv-SE"/>
              </w:rPr>
              <m:t>DL</m:t>
            </m:r>
          </m:sub>
        </m:sSub>
        <m:r>
          <m:rPr>
            <m:sty m:val="p"/>
          </m:rPr>
          <w:rPr>
            <w:rFonts w:ascii="Cambria Math" w:hAnsi="Cambria Math"/>
          </w:rPr>
          <m:t xml:space="preserve">  is the </m:t>
        </m:r>
        <m:r>
          <m:rPr>
            <m:sty m:val="p"/>
          </m:rPr>
          <w:rPr>
            <w:rFonts w:ascii="Cambria Math" w:hAnsi="Cambria Math"/>
            <w:lang w:val="en-US"/>
          </w:rPr>
          <m:t>received value after beamforming at UE</m:t>
        </m:r>
      </m:oMath>
    </w:p>
    <w:p w14:paraId="2A7C1AC6" w14:textId="411A4A1D" w:rsidR="006E26E9" w:rsidRPr="006E26E9" w:rsidRDefault="00EE2BCA" w:rsidP="003568A5">
      <w:pPr>
        <w:pStyle w:val="BodyText"/>
        <w:ind w:left="709"/>
        <w:jc w:val="both"/>
        <w:rPr>
          <w:iCs/>
          <w:lang w:val="en-US"/>
        </w:rPr>
      </w:pPr>
      <m:oMathPara>
        <m:oMathParaPr>
          <m:jc m:val="left"/>
        </m:oMathParaPr>
        <m:oMath>
          <m:sSub>
            <m:sSubPr>
              <m:ctrlPr>
                <w:rPr>
                  <w:rFonts w:ascii="Cambria Math" w:hAnsi="Cambria Math"/>
                  <w:i/>
                  <w:iCs/>
                </w:rPr>
              </m:ctrlPr>
            </m:sSubPr>
            <m:e>
              <m:r>
                <w:rPr>
                  <w:rFonts w:ascii="Cambria Math" w:hAnsi="Cambria Math"/>
                  <w:lang w:val="sv-SE"/>
                </w:rPr>
                <m:t>y</m:t>
              </m:r>
            </m:e>
            <m:sub>
              <m:r>
                <w:rPr>
                  <w:rFonts w:ascii="Cambria Math" w:hAnsi="Cambria Math"/>
                  <w:lang w:val="sv-SE"/>
                </w:rPr>
                <m:t>UL</m:t>
              </m:r>
            </m:sub>
          </m:sSub>
          <m:r>
            <m:rPr>
              <m:sty m:val="p"/>
            </m:rPr>
            <w:rPr>
              <w:rFonts w:ascii="Cambria Math" w:hAnsi="Cambria Math"/>
            </w:rPr>
            <m:t xml:space="preserve">  is the </m:t>
          </m:r>
          <m:r>
            <m:rPr>
              <m:sty m:val="p"/>
            </m:rPr>
            <w:rPr>
              <w:rFonts w:ascii="Cambria Math" w:hAnsi="Cambria Math"/>
              <w:lang w:val="en-US"/>
            </w:rPr>
            <m:t>received value after beamforming at TRxP</m:t>
          </m:r>
        </m:oMath>
      </m:oMathPara>
    </w:p>
    <w:p w14:paraId="761BE7E2" w14:textId="0FA216A7" w:rsidR="00020954" w:rsidRPr="0044262F" w:rsidRDefault="002F27AC" w:rsidP="003568A5">
      <w:pPr>
        <w:pStyle w:val="BodyText"/>
        <w:ind w:left="709"/>
        <w:jc w:val="both"/>
        <w:rPr>
          <w:iCs/>
          <w:lang w:val="en-US"/>
        </w:rPr>
      </w:pPr>
      <m:oMath>
        <m:r>
          <m:rPr>
            <m:sty m:val="p"/>
          </m:rPr>
          <w:rPr>
            <w:rFonts w:ascii="Cambria Math" w:hAnsi="Cambria Math"/>
            <w:lang w:val="en-US"/>
          </w:rPr>
          <m:t xml:space="preserve"> </m:t>
        </m:r>
        <m:sSub>
          <m:sSubPr>
            <m:ctrlPr>
              <w:rPr>
                <w:rFonts w:ascii="Cambria Math" w:hAnsi="Cambria Math"/>
                <w:iCs/>
                <w:lang w:val="en-US"/>
              </w:rPr>
            </m:ctrlPr>
          </m:sSubPr>
          <m:e>
            <m:r>
              <m:rPr>
                <m:sty m:val="bi"/>
              </m:rPr>
              <w:rPr>
                <w:rFonts w:ascii="Cambria Math" w:hAnsi="Cambria Math"/>
                <w:lang w:val="en-US"/>
              </w:rPr>
              <m:t>w</m:t>
            </m:r>
          </m:e>
          <m:sub>
            <m:r>
              <w:rPr>
                <w:rFonts w:ascii="Cambria Math" w:hAnsi="Cambria Math"/>
                <w:lang w:val="en-US"/>
              </w:rPr>
              <m:t>UE</m:t>
            </m:r>
          </m:sub>
        </m:sSub>
        <m:r>
          <m:rPr>
            <m:sty m:val="p"/>
          </m:rPr>
          <w:rPr>
            <w:rFonts w:ascii="Cambria Math" w:hAnsi="Cambria Math"/>
            <w:lang w:val="en-US"/>
          </w:rPr>
          <m:t xml:space="preserve"> is the beamforming vector at UE and </m:t>
        </m:r>
        <m:sSup>
          <m:sSupPr>
            <m:ctrlPr>
              <w:rPr>
                <w:rFonts w:ascii="Cambria Math" w:hAnsi="Cambria Math"/>
                <w:lang w:val="en-US"/>
              </w:rPr>
            </m:ctrlPr>
          </m:sSupPr>
          <m:e>
            <m:d>
              <m:dPr>
                <m:ctrlPr>
                  <w:rPr>
                    <w:rFonts w:ascii="Cambria Math" w:hAnsi="Cambria Math"/>
                    <w:i/>
                    <w:lang w:val="en-US"/>
                  </w:rPr>
                </m:ctrlPr>
              </m:dPr>
              <m:e>
                <m:r>
                  <w:rPr>
                    <w:rFonts w:ascii="Cambria Math" w:hAnsi="Cambria Math"/>
                    <w:lang w:val="en-US"/>
                  </w:rPr>
                  <m:t>∙</m:t>
                </m:r>
              </m:e>
            </m:d>
          </m:e>
          <m:sup>
            <m:r>
              <w:rPr>
                <w:rFonts w:ascii="Cambria Math" w:hAnsi="Cambria Math"/>
                <w:lang w:val="en-US"/>
              </w:rPr>
              <m:t>T</m:t>
            </m:r>
          </m:sup>
        </m:sSup>
        <m:r>
          <w:rPr>
            <w:rFonts w:ascii="Cambria Math" w:hAnsi="Cambria Math"/>
            <w:lang w:val="en-US"/>
          </w:rPr>
          <m:t xml:space="preserve"> </m:t>
        </m:r>
        <m:r>
          <m:rPr>
            <m:sty m:val="p"/>
          </m:rPr>
          <w:rPr>
            <w:rFonts w:ascii="Cambria Math" w:hAnsi="Cambria Math"/>
            <w:lang w:val="en-US"/>
          </w:rPr>
          <m:t>denotes transpose</m:t>
        </m:r>
      </m:oMath>
      <w:r w:rsidR="00020954" w:rsidRPr="0044262F">
        <w:rPr>
          <w:iCs/>
          <w:lang w:val="en-US"/>
        </w:rPr>
        <w:t xml:space="preserve"> </w:t>
      </w:r>
    </w:p>
    <w:p w14:paraId="279BADA8" w14:textId="742F8231" w:rsidR="005F4418" w:rsidRPr="005F4418" w:rsidRDefault="00EE2BCA" w:rsidP="00E52A57">
      <w:pPr>
        <w:pStyle w:val="BodyText"/>
        <w:ind w:left="709" w:hanging="709"/>
        <w:jc w:val="both"/>
        <w:rPr>
          <w:rFonts w:ascii="Cambria Math" w:hAnsi="Cambria Math" w:hint="eastAsia"/>
        </w:rPr>
      </w:pPr>
      <m:oMathPara>
        <m:oMathParaPr>
          <m:jc m:val="left"/>
        </m:oMathParaPr>
        <m:oMath>
          <m:sSub>
            <m:sSubPr>
              <m:ctrlPr>
                <w:rPr>
                  <w:rFonts w:ascii="Cambria Math" w:hAnsi="Cambria Math"/>
                  <w:i/>
                  <w:iCs/>
                  <w:lang w:val="sv-SE"/>
                </w:rPr>
              </m:ctrlPr>
            </m:sSubPr>
            <m:e>
              <m:r>
                <m:rPr>
                  <m:sty m:val="bi"/>
                </m:rPr>
                <w:rPr>
                  <w:rFonts w:ascii="Cambria Math" w:hAnsi="Cambria Math"/>
                  <w:lang w:val="sv-SE"/>
                </w:rPr>
                <m:t>R</m:t>
              </m:r>
            </m:e>
            <m:sub>
              <m:r>
                <w:rPr>
                  <w:rFonts w:ascii="Cambria Math" w:hAnsi="Cambria Math"/>
                  <w:lang w:val="sv-SE"/>
                </w:rPr>
                <m:t>UE</m:t>
              </m:r>
            </m:sub>
          </m:sSub>
          <m:r>
            <w:rPr>
              <w:rFonts w:ascii="Cambria Math" w:hAnsi="Cambria Math"/>
              <w:lang w:val="en-US"/>
            </w:rPr>
            <m:t xml:space="preserve">  </m:t>
          </m:r>
          <m:r>
            <m:rPr>
              <m:sty m:val="p"/>
            </m:rPr>
            <w:rPr>
              <w:rFonts w:ascii="Cambria Math" w:hAnsi="Cambria Math"/>
            </w:rPr>
            <m:t xml:space="preserve">and </m:t>
          </m:r>
          <m:sSub>
            <m:sSubPr>
              <m:ctrlPr>
                <w:rPr>
                  <w:rFonts w:ascii="Cambria Math" w:hAnsi="Cambria Math"/>
                </w:rPr>
              </m:ctrlPr>
            </m:sSubPr>
            <m:e>
              <m:r>
                <m:rPr>
                  <m:sty m:val="bi"/>
                </m:rPr>
                <w:rPr>
                  <w:rFonts w:ascii="Cambria Math" w:hAnsi="Cambria Math"/>
                </w:rPr>
                <m:t>R</m:t>
              </m:r>
            </m:e>
            <m:sub>
              <m:r>
                <w:rPr>
                  <w:rFonts w:ascii="Cambria Math" w:hAnsi="Cambria Math"/>
                </w:rPr>
                <m:t>BS</m:t>
              </m:r>
            </m:sub>
          </m:sSub>
          <m:r>
            <m:rPr>
              <m:sty m:val="p"/>
            </m:rPr>
            <w:rPr>
              <w:rFonts w:ascii="Cambria Math" w:hAnsi="Cambria Math"/>
            </w:rPr>
            <m:t xml:space="preserve"> represent the effects (imperfections) of receive hardware in UE and TRxP respectively (diagonal matrices)</m:t>
          </m:r>
        </m:oMath>
      </m:oMathPara>
    </w:p>
    <w:p w14:paraId="1A61D6E2" w14:textId="77777777" w:rsidR="005F4418" w:rsidRPr="00FB2E0A" w:rsidRDefault="00EE2BCA" w:rsidP="00E52A57">
      <w:pPr>
        <w:pStyle w:val="BodyText"/>
        <w:ind w:left="709" w:hanging="709"/>
        <w:jc w:val="both"/>
        <w:rPr>
          <w:rFonts w:ascii="Cambria Math" w:hAnsi="Cambria Math" w:hint="eastAsia"/>
          <w:lang w:val="en-US"/>
        </w:rPr>
      </w:pPr>
      <m:oMathPara>
        <m:oMathParaPr>
          <m:jc m:val="left"/>
        </m:oMathParaPr>
        <m:oMath>
          <m:sSub>
            <m:sSubPr>
              <m:ctrlPr>
                <w:rPr>
                  <w:rFonts w:ascii="Cambria Math" w:hAnsi="Cambria Math"/>
                  <w:i/>
                </w:rPr>
              </m:ctrlPr>
            </m:sSubPr>
            <m:e>
              <m:r>
                <m:rPr>
                  <m:sty m:val="bi"/>
                </m:rPr>
                <w:rPr>
                  <w:rFonts w:ascii="Cambria Math" w:hAnsi="Cambria Math"/>
                </w:rPr>
                <m:t>H</m:t>
              </m:r>
            </m:e>
            <m:sub>
              <m:r>
                <w:rPr>
                  <w:rFonts w:ascii="Cambria Math" w:hAnsi="Cambria Math"/>
                </w:rPr>
                <m:t>DL</m:t>
              </m:r>
            </m:sub>
          </m:sSub>
          <m:r>
            <w:rPr>
              <w:rFonts w:ascii="Cambria Math" w:hAnsi="Cambria Math"/>
            </w:rPr>
            <m:t xml:space="preserve">  </m:t>
          </m:r>
          <m:r>
            <m:rPr>
              <m:sty m:val="p"/>
            </m:rPr>
            <w:rPr>
              <w:rFonts w:ascii="Cambria Math" w:hAnsi="Cambria Math"/>
            </w:rPr>
            <m:t>and</m:t>
          </m:r>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UL</m:t>
              </m:r>
            </m:sub>
          </m:sSub>
          <m:r>
            <m:rPr>
              <m:sty m:val="p"/>
            </m:rPr>
            <w:rPr>
              <w:rFonts w:ascii="Cambria Math" w:hAnsi="Cambria Math"/>
            </w:rPr>
            <m:t xml:space="preserve"> are the propagation channels in DL and UL respectively and </m:t>
          </m:r>
          <m:sSub>
            <m:sSubPr>
              <m:ctrlPr>
                <w:rPr>
                  <w:rFonts w:ascii="Cambria Math" w:hAnsi="Cambria Math"/>
                  <w:i/>
                  <w:iCs/>
                </w:rPr>
              </m:ctrlPr>
            </m:sSubPr>
            <m:e>
              <m:r>
                <m:rPr>
                  <m:sty m:val="bi"/>
                </m:rPr>
                <w:rPr>
                  <w:rFonts w:ascii="Cambria Math" w:hAnsi="Cambria Math"/>
                  <w:lang w:val="sv-SE"/>
                </w:rPr>
                <m:t>H</m:t>
              </m:r>
            </m:e>
            <m:sub>
              <m:r>
                <w:rPr>
                  <w:rFonts w:ascii="Cambria Math" w:hAnsi="Cambria Math"/>
                  <w:lang w:val="sv-SE"/>
                </w:rPr>
                <m:t>UL</m:t>
              </m:r>
            </m:sub>
          </m:sSub>
          <m:r>
            <w:rPr>
              <w:rFonts w:ascii="Cambria Math" w:hAnsi="Cambria Math"/>
              <w:lang w:val="en-US"/>
            </w:rPr>
            <m:t>=</m:t>
          </m:r>
          <m:sSubSup>
            <m:sSubSupPr>
              <m:ctrlPr>
                <w:rPr>
                  <w:rFonts w:ascii="Cambria Math" w:hAnsi="Cambria Math"/>
                  <w:i/>
                  <w:iCs/>
                  <w:lang w:val="sv-SE"/>
                </w:rPr>
              </m:ctrlPr>
            </m:sSubSupPr>
            <m:e>
              <m:r>
                <m:rPr>
                  <m:sty m:val="bi"/>
                </m:rPr>
                <w:rPr>
                  <w:rFonts w:ascii="Cambria Math" w:hAnsi="Cambria Math"/>
                  <w:lang w:val="sv-SE"/>
                </w:rPr>
                <m:t>H</m:t>
              </m:r>
            </m:e>
            <m:sub>
              <m:r>
                <w:rPr>
                  <w:rFonts w:ascii="Cambria Math" w:hAnsi="Cambria Math"/>
                  <w:lang w:val="sv-SE"/>
                </w:rPr>
                <m:t>DL</m:t>
              </m:r>
            </m:sub>
            <m:sup>
              <m:r>
                <m:rPr>
                  <m:sty m:val="p"/>
                </m:rPr>
                <w:rPr>
                  <w:rFonts w:ascii="Cambria Math" w:hAnsi="Cambria Math"/>
                  <w:lang w:val="en-US"/>
                </w:rPr>
                <m:t>T</m:t>
              </m:r>
            </m:sup>
          </m:sSubSup>
          <m:r>
            <m:rPr>
              <m:sty m:val="p"/>
            </m:rPr>
            <w:rPr>
              <w:rFonts w:ascii="Cambria Math" w:hAnsi="Cambria Math"/>
              <w:lang w:val="en-US"/>
            </w:rPr>
            <w:br/>
          </m:r>
        </m:oMath>
      </m:oMathPara>
      <w:r w:rsidR="00FB2E0A">
        <w:rPr>
          <w:rFonts w:ascii="Cambria Math" w:hAnsi="Cambria Math"/>
          <w:iCs/>
          <w:lang w:val="en-US"/>
        </w:rPr>
        <w:t>(</w:t>
      </w:r>
      <w:r w:rsidR="00FB2E0A" w:rsidRPr="00FB2E0A">
        <w:rPr>
          <w:rFonts w:ascii="Cambria Math" w:hAnsi="Cambria Math"/>
          <w:iCs/>
          <w:lang w:val="en-US"/>
        </w:rPr>
        <w:t xml:space="preserve">the </w:t>
      </w:r>
      <w:r w:rsidR="00FB2E0A">
        <w:rPr>
          <w:rFonts w:ascii="Cambria Math" w:hAnsi="Cambria Math"/>
          <w:iCs/>
          <w:lang w:val="en-US"/>
        </w:rPr>
        <w:t>test chamber is calibrated so that</w:t>
      </w:r>
      <w:r w:rsidR="003F7DD8">
        <w:rPr>
          <w:rFonts w:ascii="Cambria Math" w:hAnsi="Cambria Math"/>
          <w:iCs/>
          <w:lang w:val="en-US"/>
        </w:rPr>
        <w:t xml:space="preserve"> both</w:t>
      </w:r>
      <w:r w:rsidR="00FB2E0A">
        <w:rPr>
          <w:rFonts w:ascii="Cambria Math" w:hAnsi="Cambria Math"/>
          <w:iCs/>
          <w:lang w:val="en-US"/>
        </w:rPr>
        <w:t xml:space="preserve"> </w:t>
      </w:r>
      <m:oMath>
        <m:sSub>
          <m:sSubPr>
            <m:ctrlPr>
              <w:rPr>
                <w:rFonts w:ascii="Cambria Math" w:hAnsi="Cambria Math"/>
                <w:i/>
                <w:iCs/>
              </w:rPr>
            </m:ctrlPr>
          </m:sSubPr>
          <m:e>
            <m:r>
              <m:rPr>
                <m:sty m:val="bi"/>
              </m:rPr>
              <w:rPr>
                <w:rFonts w:ascii="Cambria Math" w:hAnsi="Cambria Math"/>
                <w:lang w:val="sv-SE"/>
              </w:rPr>
              <m:t>H</m:t>
            </m:r>
          </m:e>
          <m:sub>
            <m:r>
              <w:rPr>
                <w:rFonts w:ascii="Cambria Math" w:hAnsi="Cambria Math"/>
                <w:lang w:val="sv-SE"/>
              </w:rPr>
              <m:t>UL</m:t>
            </m:r>
          </m:sub>
        </m:sSub>
        <m:r>
          <w:rPr>
            <w:rFonts w:ascii="Cambria Math" w:hAnsi="Cambria Math"/>
          </w:rPr>
          <m:t xml:space="preserve"> </m:t>
        </m:r>
        <m:r>
          <m:rPr>
            <m:sty m:val="p"/>
          </m:rPr>
          <w:rPr>
            <w:rFonts w:ascii="Cambria Math" w:hAnsi="Cambria Math"/>
          </w:rPr>
          <m:t>and</m:t>
        </m:r>
        <m:r>
          <w:rPr>
            <w:rFonts w:ascii="Cambria Math" w:hAnsi="Cambria Math"/>
          </w:rPr>
          <m:t xml:space="preserve"> </m:t>
        </m:r>
        <m:sSubSup>
          <m:sSubSupPr>
            <m:ctrlPr>
              <w:rPr>
                <w:rFonts w:ascii="Cambria Math" w:hAnsi="Cambria Math"/>
                <w:i/>
                <w:iCs/>
                <w:lang w:val="sv-SE"/>
              </w:rPr>
            </m:ctrlPr>
          </m:sSubSupPr>
          <m:e>
            <m:r>
              <m:rPr>
                <m:sty m:val="bi"/>
              </m:rPr>
              <w:rPr>
                <w:rFonts w:ascii="Cambria Math" w:hAnsi="Cambria Math"/>
                <w:lang w:val="sv-SE"/>
              </w:rPr>
              <m:t>H</m:t>
            </m:r>
          </m:e>
          <m:sub>
            <m:r>
              <w:rPr>
                <w:rFonts w:ascii="Cambria Math" w:hAnsi="Cambria Math"/>
                <w:lang w:val="sv-SE"/>
              </w:rPr>
              <m:t>DL</m:t>
            </m:r>
          </m:sub>
          <m:sup>
            <m:r>
              <m:rPr>
                <m:sty m:val="p"/>
              </m:rPr>
              <w:rPr>
                <w:rFonts w:ascii="Cambria Math" w:hAnsi="Cambria Math"/>
                <w:lang w:val="en-US"/>
              </w:rPr>
              <m:t>T</m:t>
            </m:r>
          </m:sup>
        </m:sSubSup>
      </m:oMath>
      <w:r w:rsidR="00FB2E0A">
        <w:rPr>
          <w:rFonts w:ascii="Cambria Math" w:hAnsi="Cambria Math"/>
          <w:iCs/>
          <w:lang w:val="en-US"/>
        </w:rPr>
        <w:t xml:space="preserve"> </w:t>
      </w:r>
      <w:r w:rsidR="003F7DD8">
        <w:rPr>
          <w:rFonts w:ascii="Cambria Math" w:hAnsi="Cambria Math"/>
          <w:iCs/>
          <w:lang w:val="en-US"/>
        </w:rPr>
        <w:t xml:space="preserve">are all-ones matrices </w:t>
      </w:r>
      <w:r w:rsidR="00FB2E0A">
        <w:rPr>
          <w:rFonts w:ascii="Cambria Math" w:hAnsi="Cambria Math"/>
          <w:iCs/>
          <w:lang w:val="en-US"/>
        </w:rPr>
        <w:t>in the qu</w:t>
      </w:r>
      <w:r w:rsidR="00FB2E0A" w:rsidRPr="00FB2E0A">
        <w:rPr>
          <w:rFonts w:ascii="Cambria Math" w:hAnsi="Cambria Math"/>
          <w:iCs/>
          <w:lang w:val="en-US"/>
        </w:rPr>
        <w:t>iet</w:t>
      </w:r>
      <w:r w:rsidR="00FB2E0A">
        <w:rPr>
          <w:rFonts w:ascii="Cambria Math" w:hAnsi="Cambria Math"/>
          <w:iCs/>
          <w:lang w:val="en-US"/>
        </w:rPr>
        <w:t xml:space="preserve"> zone)</w:t>
      </w:r>
    </w:p>
    <w:p w14:paraId="367D4F34" w14:textId="37A5E611" w:rsidR="005F4418" w:rsidRPr="005F4418" w:rsidRDefault="00EE2BCA" w:rsidP="00E52A57">
      <w:pPr>
        <w:pStyle w:val="BodyText"/>
        <w:ind w:left="709" w:hanging="709"/>
        <w:jc w:val="both"/>
        <w:rPr>
          <w:rFonts w:ascii="Cambria Math" w:hAnsi="Cambria Math" w:hint="eastAsia"/>
        </w:rPr>
      </w:pPr>
      <m:oMathPara>
        <m:oMathParaPr>
          <m:jc m:val="left"/>
        </m:oMathParaPr>
        <m:oMath>
          <m:sSub>
            <m:sSubPr>
              <m:ctrlPr>
                <w:rPr>
                  <w:rFonts w:ascii="Cambria Math" w:hAnsi="Cambria Math"/>
                  <w:i/>
                  <w:iCs/>
                  <w:lang w:val="sv-SE"/>
                </w:rPr>
              </m:ctrlPr>
            </m:sSubPr>
            <m:e>
              <m:r>
                <m:rPr>
                  <m:sty m:val="bi"/>
                </m:rPr>
                <w:rPr>
                  <w:rFonts w:ascii="Cambria Math" w:hAnsi="Cambria Math"/>
                  <w:lang w:val="sv-SE"/>
                </w:rPr>
                <m:t>T</m:t>
              </m:r>
            </m:e>
            <m:sub>
              <m:r>
                <w:rPr>
                  <w:rFonts w:ascii="Cambria Math" w:hAnsi="Cambria Math"/>
                  <w:lang w:val="sv-SE"/>
                </w:rPr>
                <m:t>BS</m:t>
              </m:r>
            </m:sub>
          </m:sSub>
          <m:r>
            <w:rPr>
              <w:rFonts w:ascii="Cambria Math" w:hAnsi="Cambria Math"/>
              <w:lang w:val="en-US"/>
            </w:rPr>
            <m:t xml:space="preserve"> </m:t>
          </m:r>
          <m:r>
            <m:rPr>
              <m:sty m:val="p"/>
            </m:rPr>
            <w:rPr>
              <w:rFonts w:ascii="Cambria Math" w:hAnsi="Cambria Math"/>
            </w:rPr>
            <m:t xml:space="preserve">and </m:t>
          </m:r>
          <m:sSub>
            <m:sSubPr>
              <m:ctrlPr>
                <w:rPr>
                  <w:rFonts w:ascii="Cambria Math" w:hAnsi="Cambria Math"/>
                </w:rPr>
              </m:ctrlPr>
            </m:sSubPr>
            <m:e>
              <m:r>
                <m:rPr>
                  <m:sty m:val="bi"/>
                </m:rPr>
                <w:rPr>
                  <w:rFonts w:ascii="Cambria Math" w:hAnsi="Cambria Math"/>
                </w:rPr>
                <m:t>T</m:t>
              </m:r>
            </m:e>
            <m:sub>
              <m:r>
                <w:rPr>
                  <w:rFonts w:ascii="Cambria Math" w:hAnsi="Cambria Math"/>
                </w:rPr>
                <m:t>UE</m:t>
              </m:r>
            </m:sub>
          </m:sSub>
          <m:r>
            <m:rPr>
              <m:sty m:val="p"/>
            </m:rPr>
            <w:rPr>
              <w:rFonts w:ascii="Cambria Math" w:hAnsi="Cambria Math"/>
            </w:rPr>
            <m:t xml:space="preserve"> represent the effects of transmit hardware in TRxP and UE respectively  (diagonal matrices)</m:t>
          </m:r>
        </m:oMath>
      </m:oMathPara>
    </w:p>
    <w:p w14:paraId="00545317" w14:textId="1293B804" w:rsidR="005F4418" w:rsidRPr="005F4418" w:rsidRDefault="00EE2BCA" w:rsidP="00E52A57">
      <w:pPr>
        <w:pStyle w:val="BodyText"/>
        <w:ind w:left="709" w:hanging="709"/>
        <w:jc w:val="both"/>
        <w:rPr>
          <w:rFonts w:ascii="Cambria Math" w:hAnsi="Cambria Math" w:hint="eastAsia"/>
          <w:i/>
          <w:lang w:val="en-US"/>
        </w:rPr>
      </w:pPr>
      <m:oMathPara>
        <m:oMathParaPr>
          <m:jc m:val="left"/>
        </m:oMathParaPr>
        <m:oMath>
          <m:sSub>
            <m:sSubPr>
              <m:ctrlPr>
                <w:rPr>
                  <w:rFonts w:ascii="Cambria Math" w:hAnsi="Cambria Math"/>
                  <w:i/>
                </w:rPr>
              </m:ctrlPr>
            </m:sSubPr>
            <m:e>
              <m:r>
                <m:rPr>
                  <m:sty m:val="bi"/>
                </m:rPr>
                <w:rPr>
                  <w:rFonts w:ascii="Cambria Math" w:hAnsi="Cambria Math"/>
                </w:rPr>
                <m:t>w</m:t>
              </m:r>
            </m:e>
            <m:sub>
              <m:r>
                <w:rPr>
                  <w:rFonts w:ascii="Cambria Math" w:hAnsi="Cambria Math"/>
                </w:rPr>
                <m:t>BS</m:t>
              </m:r>
            </m:sub>
          </m:sSub>
          <m:r>
            <m:rPr>
              <m:sty m:val="p"/>
            </m:rPr>
            <w:rPr>
              <w:rFonts w:ascii="Cambria Math" w:hAnsi="Cambria Math"/>
              <w:lang w:val="en-US"/>
            </w:rPr>
            <m:t xml:space="preserve"> is the beamforming vector at TRxP</m:t>
          </m:r>
        </m:oMath>
      </m:oMathPara>
    </w:p>
    <w:p w14:paraId="3E043AA0" w14:textId="77777777" w:rsidR="00A22D2E" w:rsidRDefault="002C76AF" w:rsidP="005F1CFF">
      <w:pPr>
        <w:pStyle w:val="BodyText"/>
      </w:pPr>
      <w:r>
        <w:t xml:space="preserve">It is up to RAN4 to define performance metrics for beam correspondence and it </w:t>
      </w:r>
      <w:r w:rsidR="00D32A6E">
        <w:t>has been</w:t>
      </w:r>
      <w:r>
        <w:t xml:space="preserve"> proposed to include a gain component (besides the AoA / AoD matching)</w:t>
      </w:r>
      <w:r w:rsidR="00D32A6E" w:rsidRPr="00D32A6E">
        <w:t xml:space="preserve"> </w:t>
      </w:r>
      <w:r w:rsidR="00D32A6E">
        <w:fldChar w:fldCharType="begin"/>
      </w:r>
      <w:r w:rsidR="00D32A6E">
        <w:instrText xml:space="preserve"> REF _Ref508807167 \r \h </w:instrText>
      </w:r>
      <w:r w:rsidR="00D32A6E">
        <w:fldChar w:fldCharType="separate"/>
      </w:r>
      <w:r w:rsidR="00A345D4">
        <w:t>[6]</w:t>
      </w:r>
      <w:r w:rsidR="00D32A6E">
        <w:fldChar w:fldCharType="end"/>
      </w:r>
      <w:r w:rsidR="000A4A19">
        <w:t xml:space="preserve">. </w:t>
      </w:r>
      <w:r>
        <w:t>This</w:t>
      </w:r>
      <w:r w:rsidR="00BB2922">
        <w:t xml:space="preserve"> could be interpreted as</w:t>
      </w:r>
      <w:r w:rsidR="000A4A19">
        <w:t xml:space="preserve"> beam correspondence</w:t>
      </w:r>
      <w:r w:rsidR="00F537BC">
        <w:t xml:space="preserve"> </w:t>
      </w:r>
      <w:r w:rsidR="0044262F">
        <w:t>is guaranteed if the following holds (</w:t>
      </w:r>
      <m:oMath>
        <m:sSub>
          <m:sSubPr>
            <m:ctrlPr>
              <w:rPr>
                <w:rFonts w:ascii="Cambria Math" w:hAnsi="Cambria Math"/>
                <w:i/>
                <w:iCs/>
                <w:lang w:val="en-US"/>
              </w:rPr>
            </m:ctrlPr>
          </m:sSubPr>
          <m:e>
            <m:r>
              <w:rPr>
                <w:rFonts w:ascii="Cambria Math" w:hAnsi="Cambria Math"/>
                <w:lang w:val="sv-SE"/>
              </w:rPr>
              <m:t>t</m:t>
            </m:r>
          </m:e>
          <m:sub>
            <m:r>
              <w:rPr>
                <w:rFonts w:ascii="Cambria Math" w:hAnsi="Cambria Math"/>
                <w:lang w:val="sv-SE"/>
              </w:rPr>
              <m:t>UE</m:t>
            </m:r>
            <m:r>
              <w:rPr>
                <w:rFonts w:ascii="Cambria Math" w:hAnsi="Cambria Math"/>
                <w:lang w:val="en-US"/>
              </w:rPr>
              <m:t>,</m:t>
            </m:r>
            <m:r>
              <w:rPr>
                <w:rFonts w:ascii="Cambria Math" w:hAnsi="Cambria Math"/>
                <w:lang w:val="sv-SE"/>
              </w:rPr>
              <m:t>n</m:t>
            </m:r>
          </m:sub>
        </m:sSub>
      </m:oMath>
      <w:r w:rsidR="0044262F">
        <w:rPr>
          <w:iCs/>
          <w:lang w:val="en-US"/>
        </w:rPr>
        <w:t xml:space="preserve"> denotes the </w:t>
      </w:r>
      <w:r w:rsidR="0044262F" w:rsidRPr="0044262F">
        <w:rPr>
          <w:i/>
          <w:iCs/>
          <w:lang w:val="en-US"/>
        </w:rPr>
        <w:t>n</w:t>
      </w:r>
      <w:r w:rsidR="0044262F">
        <w:rPr>
          <w:iCs/>
          <w:lang w:val="en-US"/>
        </w:rPr>
        <w:t xml:space="preserve">th diagonal element </w:t>
      </w:r>
      <w:r w:rsidR="00AE1465">
        <w:rPr>
          <w:iCs/>
          <w:lang w:val="en-US"/>
        </w:rPr>
        <w:t xml:space="preserve">of </w:t>
      </w:r>
      <w:r w:rsidR="00AE1465" w:rsidRPr="00AE1465">
        <w:rPr>
          <w:b/>
          <w:i/>
          <w:iCs/>
          <w:lang w:val="en-US"/>
        </w:rPr>
        <w:t>T</w:t>
      </w:r>
      <w:r w:rsidR="00AE1465" w:rsidRPr="00AE1465">
        <w:rPr>
          <w:i/>
          <w:iCs/>
          <w:vertAlign w:val="subscript"/>
          <w:lang w:val="en-US"/>
        </w:rPr>
        <w:t>UE</w:t>
      </w:r>
      <w:r w:rsidR="0044262F" w:rsidRPr="0044262F">
        <w:rPr>
          <w:iCs/>
          <w:lang w:val="en-US"/>
        </w:rPr>
        <w:t>, etc</w:t>
      </w:r>
      <w:r w:rsidR="00AE1465">
        <w:rPr>
          <w:iCs/>
          <w:lang w:val="en-US"/>
        </w:rPr>
        <w:t>.</w:t>
      </w:r>
      <w:r w:rsidR="0044262F" w:rsidRPr="0044262F">
        <w:rPr>
          <w:iCs/>
          <w:lang w:val="en-US"/>
        </w:rPr>
        <w:t>)</w:t>
      </w:r>
      <w:r w:rsidR="00AE1465">
        <w:rPr>
          <w:iCs/>
          <w:lang w:val="en-US"/>
        </w:rPr>
        <w:t xml:space="preserve">: </w:t>
      </w:r>
      <w:r w:rsidR="005F1CFF">
        <w:br/>
      </w:r>
      <m:oMathPara>
        <m:oMath>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sv-SE"/>
                    </w:rPr>
                    <m:t>t</m:t>
                  </m:r>
                </m:e>
                <m:sub>
                  <m:r>
                    <w:rPr>
                      <w:rFonts w:ascii="Cambria Math" w:hAnsi="Cambria Math"/>
                      <w:lang w:val="sv-SE"/>
                    </w:rPr>
                    <m:t>UE</m:t>
                  </m:r>
                  <m:r>
                    <w:rPr>
                      <w:rFonts w:ascii="Cambria Math" w:hAnsi="Cambria Math"/>
                      <w:lang w:val="en-US"/>
                    </w:rPr>
                    <m:t>,</m:t>
                  </m:r>
                  <m:r>
                    <w:rPr>
                      <w:rFonts w:ascii="Cambria Math" w:hAnsi="Cambria Math"/>
                      <w:lang w:val="sv-SE"/>
                    </w:rPr>
                    <m:t>n</m:t>
                  </m:r>
                </m:sub>
              </m:sSub>
            </m:num>
            <m:den>
              <m:sSub>
                <m:sSubPr>
                  <m:ctrlPr>
                    <w:rPr>
                      <w:rFonts w:ascii="Cambria Math" w:hAnsi="Cambria Math"/>
                      <w:i/>
                      <w:iCs/>
                      <w:lang w:val="en-US"/>
                    </w:rPr>
                  </m:ctrlPr>
                </m:sSubPr>
                <m:e>
                  <m:r>
                    <w:rPr>
                      <w:rFonts w:ascii="Cambria Math" w:hAnsi="Cambria Math"/>
                      <w:lang w:val="sv-SE"/>
                    </w:rPr>
                    <m:t>r</m:t>
                  </m:r>
                </m:e>
                <m:sub>
                  <m:r>
                    <w:rPr>
                      <w:rFonts w:ascii="Cambria Math" w:hAnsi="Cambria Math"/>
                      <w:lang w:val="sv-SE"/>
                    </w:rPr>
                    <m:t>UE</m:t>
                  </m:r>
                  <m:r>
                    <w:rPr>
                      <w:rFonts w:ascii="Cambria Math" w:hAnsi="Cambria Math"/>
                      <w:lang w:val="en-US"/>
                    </w:rPr>
                    <m:t>,</m:t>
                  </m:r>
                  <m:r>
                    <w:rPr>
                      <w:rFonts w:ascii="Cambria Math" w:hAnsi="Cambria Math"/>
                      <w:lang w:val="sv-SE"/>
                    </w:rPr>
                    <m:t>n</m:t>
                  </m:r>
                </m:sub>
              </m:sSub>
            </m:den>
          </m:f>
          <m:r>
            <w:rPr>
              <w:rFonts w:ascii="Cambria Math" w:hAnsi="Cambria Math"/>
              <w:lang w:val="en-US"/>
            </w:rPr>
            <m:t>≈</m:t>
          </m:r>
          <m:r>
            <m:rPr>
              <m:sty m:val="bi"/>
            </m:rPr>
            <w:rPr>
              <w:rFonts w:ascii="Cambria Math" w:hAnsi="Cambria Math"/>
              <w:b/>
              <w:i/>
              <w:lang w:val="sv-SE"/>
            </w:rPr>
            <w:sym w:font="Symbol" w:char="F061"/>
          </m:r>
          <m:r>
            <w:rPr>
              <w:rFonts w:ascii="Cambria Math" w:hAnsi="Cambria Math"/>
              <w:lang w:val="en-US"/>
            </w:rPr>
            <m:t xml:space="preserve"> , ∀</m:t>
          </m:r>
          <m:r>
            <w:rPr>
              <w:rFonts w:ascii="Cambria Math" w:hAnsi="Cambria Math"/>
              <w:lang w:val="sv-SE"/>
            </w:rPr>
            <m:t>n</m:t>
          </m:r>
          <m:r>
            <m:rPr>
              <m:sty m:val="p"/>
            </m:rPr>
            <w:rPr>
              <w:lang w:val="en-US"/>
            </w:rPr>
            <w:br/>
          </m:r>
        </m:oMath>
      </m:oMathPara>
      <w:r w:rsidR="00E52A57">
        <w:rPr>
          <w:lang w:val="en-US"/>
        </w:rPr>
        <w:t xml:space="preserve">where </w:t>
      </w:r>
      <w:r w:rsidR="00AE1465" w:rsidRPr="00D32A6E">
        <w:rPr>
          <w:b/>
          <w:i/>
          <w:lang w:val="en-US"/>
        </w:rPr>
        <w:sym w:font="Symbol" w:char="F061"/>
      </w:r>
      <w:r w:rsidR="00E52A57">
        <w:rPr>
          <w:lang w:val="en-US"/>
        </w:rPr>
        <w:t xml:space="preserve"> is</w:t>
      </w:r>
      <w:r w:rsidR="005F1CFF">
        <w:rPr>
          <w:lang w:val="en-US"/>
        </w:rPr>
        <w:t xml:space="preserve"> constant</w:t>
      </w:r>
      <w:r w:rsidR="00406280">
        <w:t xml:space="preserve"> (within a certain threshold)</w:t>
      </w:r>
      <w:r w:rsidR="001B1B97">
        <w:t xml:space="preserve"> for</w:t>
      </w:r>
      <w:r w:rsidR="00406280">
        <w:t xml:space="preserve"> all</w:t>
      </w:r>
      <w:r w:rsidR="001B1B97">
        <w:t xml:space="preserve"> </w:t>
      </w:r>
      <w:r w:rsidR="003F7DD8">
        <w:t xml:space="preserve">antenna elements, </w:t>
      </w:r>
      <w:r w:rsidR="003F7DD8" w:rsidRPr="003F7DD8">
        <w:rPr>
          <w:i/>
        </w:rPr>
        <w:t>n</w:t>
      </w:r>
      <w:r w:rsidR="003F7DD8">
        <w:t xml:space="preserve">, across all </w:t>
      </w:r>
      <w:r w:rsidR="001B1B97">
        <w:t xml:space="preserve">available </w:t>
      </w:r>
      <w:r w:rsidR="0044262F">
        <w:t>panels</w:t>
      </w:r>
      <w:r w:rsidR="001B1B97">
        <w:t>.</w:t>
      </w:r>
      <w:r w:rsidR="00406280">
        <w:t xml:space="preserve"> The </w:t>
      </w:r>
      <w:r>
        <w:t xml:space="preserve">tolerance for </w:t>
      </w:r>
      <w:r w:rsidRPr="00D32A6E">
        <w:rPr>
          <w:b/>
          <w:i/>
        </w:rPr>
        <w:sym w:font="Symbol" w:char="F061"/>
      </w:r>
      <w:r w:rsidR="00406280">
        <w:t xml:space="preserve"> is yet not decided in RAN4 but </w:t>
      </w:r>
      <w:r w:rsidR="00623B83">
        <w:t xml:space="preserve">the value must be chosen in a way not to put unnecessary hard </w:t>
      </w:r>
      <w:r w:rsidR="00406280">
        <w:t>limit</w:t>
      </w:r>
      <w:r w:rsidR="00623B83">
        <w:t>s on</w:t>
      </w:r>
      <w:r w:rsidR="00406280">
        <w:t xml:space="preserve"> the design flexibility regarding antennas, antenna placement</w:t>
      </w:r>
      <w:r w:rsidR="00623B83">
        <w:t xml:space="preserve"> and front-end</w:t>
      </w:r>
      <w:r w:rsidR="00A22D2E">
        <w:t xml:space="preserve"> design</w:t>
      </w:r>
      <w:r w:rsidR="00D32A6E">
        <w:t xml:space="preserve">.  </w:t>
      </w:r>
    </w:p>
    <w:p w14:paraId="4349D87B" w14:textId="77777777" w:rsidR="00BB5439" w:rsidRDefault="00323EA1" w:rsidP="005F1CFF">
      <w:pPr>
        <w:pStyle w:val="BodyText"/>
        <w:rPr>
          <w:lang w:val="en-US"/>
        </w:rPr>
      </w:pPr>
      <w:r>
        <w:t>O</w:t>
      </w:r>
      <w:r w:rsidR="00BB5439">
        <w:t>ne example where</w:t>
      </w:r>
      <m:oMath>
        <m:r>
          <w:rPr>
            <w:rFonts w:ascii="Cambria Math" w:eastAsiaTheme="minorEastAsia" w:hAnsi="Cambria Math" w:cstheme="minorBidi"/>
            <w:color w:val="BFBFBF" w:themeColor="background1" w:themeShade="BF"/>
            <w:kern w:val="24"/>
            <w:sz w:val="28"/>
            <w:szCs w:val="28"/>
            <w:lang w:val="en-US" w:eastAsia="ja-JP"/>
          </w:rPr>
          <m:t xml:space="preserve"> </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sv-SE"/>
                  </w:rPr>
                  <m:t>t</m:t>
                </m:r>
              </m:e>
              <m:sub>
                <m:r>
                  <w:rPr>
                    <w:rFonts w:ascii="Cambria Math" w:hAnsi="Cambria Math"/>
                    <w:lang w:val="sv-SE"/>
                  </w:rPr>
                  <m:t>UE</m:t>
                </m:r>
                <m:r>
                  <w:rPr>
                    <w:rFonts w:ascii="Cambria Math" w:hAnsi="Cambria Math"/>
                    <w:lang w:val="en-US"/>
                  </w:rPr>
                  <m:t>,</m:t>
                </m:r>
                <m:r>
                  <w:rPr>
                    <w:rFonts w:ascii="Cambria Math" w:hAnsi="Cambria Math"/>
                    <w:lang w:val="sv-SE"/>
                  </w:rPr>
                  <m:t>n</m:t>
                </m:r>
              </m:sub>
            </m:sSub>
          </m:num>
          <m:den>
            <m:sSub>
              <m:sSubPr>
                <m:ctrlPr>
                  <w:rPr>
                    <w:rFonts w:ascii="Cambria Math" w:hAnsi="Cambria Math"/>
                    <w:i/>
                    <w:iCs/>
                    <w:lang w:val="en-US"/>
                  </w:rPr>
                </m:ctrlPr>
              </m:sSubPr>
              <m:e>
                <m:r>
                  <w:rPr>
                    <w:rFonts w:ascii="Cambria Math" w:hAnsi="Cambria Math"/>
                    <w:lang w:val="sv-SE"/>
                  </w:rPr>
                  <m:t>r</m:t>
                </m:r>
              </m:e>
              <m:sub>
                <m:r>
                  <w:rPr>
                    <w:rFonts w:ascii="Cambria Math" w:hAnsi="Cambria Math"/>
                    <w:lang w:val="sv-SE"/>
                  </w:rPr>
                  <m:t>UE</m:t>
                </m:r>
                <m:r>
                  <w:rPr>
                    <w:rFonts w:ascii="Cambria Math" w:hAnsi="Cambria Math"/>
                    <w:lang w:val="en-US"/>
                  </w:rPr>
                  <m:t>,</m:t>
                </m:r>
                <m:r>
                  <w:rPr>
                    <w:rFonts w:ascii="Cambria Math" w:hAnsi="Cambria Math"/>
                    <w:lang w:val="sv-SE"/>
                  </w:rPr>
                  <m:t>n</m:t>
                </m:r>
              </m:sub>
            </m:sSub>
          </m:den>
        </m:f>
      </m:oMath>
      <w:r w:rsidR="00A22D2E">
        <w:rPr>
          <w:lang w:val="en-US"/>
        </w:rPr>
        <w:t xml:space="preserve"> </w:t>
      </w:r>
      <w:r w:rsidR="004F7199">
        <w:rPr>
          <w:lang w:val="en-US"/>
        </w:rPr>
        <w:t xml:space="preserve"> </w:t>
      </w:r>
      <w:r w:rsidR="00A22D2E">
        <w:rPr>
          <w:lang w:val="en-US"/>
        </w:rPr>
        <w:t>c</w:t>
      </w:r>
      <w:r w:rsidR="00BB5439">
        <w:rPr>
          <w:lang w:val="en-US"/>
        </w:rPr>
        <w:t xml:space="preserve">ould </w:t>
      </w:r>
      <w:r w:rsidR="00A22D2E">
        <w:rPr>
          <w:lang w:val="en-US"/>
        </w:rPr>
        <w:t>have significant</w:t>
      </w:r>
      <w:r w:rsidR="000B3299">
        <w:rPr>
          <w:lang w:val="en-US"/>
        </w:rPr>
        <w:t>ly</w:t>
      </w:r>
      <w:r w:rsidR="00A22D2E">
        <w:rPr>
          <w:lang w:val="en-US"/>
        </w:rPr>
        <w:t xml:space="preserve"> </w:t>
      </w:r>
      <w:r w:rsidR="00BB5439">
        <w:rPr>
          <w:lang w:val="en-US"/>
        </w:rPr>
        <w:t xml:space="preserve">different </w:t>
      </w:r>
      <w:r w:rsidR="00A22D2E">
        <w:rPr>
          <w:lang w:val="en-US"/>
        </w:rPr>
        <w:t xml:space="preserve">values </w:t>
      </w:r>
      <w:r w:rsidR="00BB5439">
        <w:rPr>
          <w:lang w:val="en-US"/>
        </w:rPr>
        <w:t xml:space="preserve">for different antenna panels </w:t>
      </w:r>
      <w:r w:rsidR="00D32A6E">
        <w:rPr>
          <w:lang w:val="en-US"/>
        </w:rPr>
        <w:t xml:space="preserve">(i.e. in different directions) </w:t>
      </w:r>
      <w:r w:rsidR="00BB5439">
        <w:rPr>
          <w:lang w:val="en-US"/>
        </w:rPr>
        <w:t>is given</w:t>
      </w:r>
      <w:r>
        <w:rPr>
          <w:lang w:val="en-US"/>
        </w:rPr>
        <w:t xml:space="preserve"> below</w:t>
      </w:r>
      <w:r w:rsidR="00BB5439">
        <w:rPr>
          <w:lang w:val="en-US"/>
        </w:rPr>
        <w:t>:</w:t>
      </w:r>
    </w:p>
    <w:p w14:paraId="38CB4C31" w14:textId="4BD35F38" w:rsidR="00F02448" w:rsidRDefault="00BB5439" w:rsidP="008661CA">
      <w:pPr>
        <w:pStyle w:val="BodyText"/>
      </w:pPr>
      <w:r>
        <w:t xml:space="preserve">Assume </w:t>
      </w:r>
      <w:r w:rsidR="000B3299">
        <w:t xml:space="preserve">that </w:t>
      </w:r>
      <w:r>
        <w:t xml:space="preserve">a UE has two antenna </w:t>
      </w:r>
      <w:r w:rsidR="000B3299">
        <w:t>panels</w:t>
      </w:r>
      <w:r w:rsidR="000A4A19">
        <w:t>;</w:t>
      </w:r>
      <w:r w:rsidR="00323EA1">
        <w:t xml:space="preserve"> one</w:t>
      </w:r>
      <w:r>
        <w:t xml:space="preserve"> in front</w:t>
      </w:r>
      <w:r w:rsidR="00323EA1">
        <w:t>,</w:t>
      </w:r>
      <w:r>
        <w:t xml:space="preserve"> below glass cover</w:t>
      </w:r>
      <w:r w:rsidR="000B3299">
        <w:t>,</w:t>
      </w:r>
      <w:r w:rsidR="000A4A19">
        <w:t xml:space="preserve"> and the other </w:t>
      </w:r>
      <w:r>
        <w:t xml:space="preserve">in </w:t>
      </w:r>
      <w:r w:rsidR="000A4A19">
        <w:t xml:space="preserve">the </w:t>
      </w:r>
      <w:r>
        <w:t>back, below plastic cover</w:t>
      </w:r>
      <w:r w:rsidR="00323EA1">
        <w:t>.</w:t>
      </w:r>
      <w:r w:rsidR="00A719C2">
        <w:t xml:space="preserve"> </w:t>
      </w:r>
      <w:r w:rsidR="00323EA1">
        <w:t>C</w:t>
      </w:r>
      <w:r w:rsidR="00A719C2">
        <w:t xml:space="preserve">over losses are less </w:t>
      </w:r>
      <w:r w:rsidR="00323EA1">
        <w:t xml:space="preserve">in plastic </w:t>
      </w:r>
      <w:r w:rsidR="000B3299">
        <w:t>than in</w:t>
      </w:r>
      <w:r w:rsidR="00323EA1">
        <w:t xml:space="preserve"> glass</w:t>
      </w:r>
      <w:r>
        <w:t>. Further</w:t>
      </w:r>
      <w:r w:rsidR="000B3299">
        <w:t>,</w:t>
      </w:r>
      <w:r>
        <w:t xml:space="preserve"> assume </w:t>
      </w:r>
      <w:r w:rsidR="000B3299">
        <w:t xml:space="preserve">that </w:t>
      </w:r>
      <w:r>
        <w:t xml:space="preserve">the PA is designed in a way </w:t>
      </w:r>
      <w:r w:rsidR="000B3299">
        <w:t xml:space="preserve">so that </w:t>
      </w:r>
      <w:r>
        <w:t xml:space="preserve">there is enough available power </w:t>
      </w:r>
      <w:r w:rsidR="00F02448">
        <w:t xml:space="preserve">to operate the close to the </w:t>
      </w:r>
      <w:r w:rsidR="00A719C2">
        <w:t xml:space="preserve">maximum </w:t>
      </w:r>
      <w:r w:rsidR="00E06DE7">
        <w:t>TR</w:t>
      </w:r>
      <w:r w:rsidR="000A4A19">
        <w:t>P</w:t>
      </w:r>
      <w:r w:rsidR="00F02448" w:rsidRPr="00F02448">
        <w:t xml:space="preserve"> </w:t>
      </w:r>
      <w:r w:rsidR="00F02448">
        <w:t>limit</w:t>
      </w:r>
      <w:r w:rsidR="00E06DE7">
        <w:t xml:space="preserve">. </w:t>
      </w:r>
      <w:r w:rsidR="000B3299">
        <w:t>Then,</w:t>
      </w:r>
      <w:r w:rsidR="00A719C2">
        <w:t xml:space="preserve"> the PA </w:t>
      </w:r>
      <w:r w:rsidR="00F02448">
        <w:t xml:space="preserve">may </w:t>
      </w:r>
      <w:r w:rsidR="000B3299">
        <w:t>be</w:t>
      </w:r>
      <w:r w:rsidR="00A719C2">
        <w:t xml:space="preserve"> trimmed to maintain the same EIRP performance regardless of which antenna panel is chosen</w:t>
      </w:r>
      <w:r w:rsidR="000A4A19">
        <w:t xml:space="preserve"> (i.e. to compensate for the </w:t>
      </w:r>
      <w:r w:rsidR="000B3299">
        <w:t>severe</w:t>
      </w:r>
      <w:r w:rsidR="000A4A19">
        <w:t xml:space="preserve"> loss in the glass cover)</w:t>
      </w:r>
      <w:r w:rsidR="00A719C2">
        <w:t>. The EIS spherical coverage, on the other hand, will be affected by the different cover material</w:t>
      </w:r>
      <w:r w:rsidR="000B3299">
        <w:t>s</w:t>
      </w:r>
      <w:r w:rsidR="00A719C2">
        <w:t xml:space="preserve"> above the antenna panel</w:t>
      </w:r>
      <w:r w:rsidR="000B3299">
        <w:t>s</w:t>
      </w:r>
      <w:r w:rsidR="00A719C2">
        <w:t>.</w:t>
      </w:r>
      <w:r w:rsidR="00A22D2E">
        <w:t xml:space="preserve"> Still beam correspondence is met in the sense that the UE</w:t>
      </w:r>
      <w:r w:rsidR="000B3299">
        <w:t>’s</w:t>
      </w:r>
      <w:r w:rsidR="00A22D2E">
        <w:t xml:space="preserve"> UL and DL beams match regarding AoA</w:t>
      </w:r>
      <w:r w:rsidR="00D32A6E">
        <w:t xml:space="preserve"> / AoD</w:t>
      </w:r>
      <w:r w:rsidR="00302D85">
        <w:t xml:space="preserve">. </w:t>
      </w:r>
      <w:r w:rsidR="00A22D2E">
        <w:t xml:space="preserve"> </w:t>
      </w:r>
      <w:r w:rsidR="00302D85">
        <w:t>This</w:t>
      </w:r>
      <w:r w:rsidR="000B3299">
        <w:t xml:space="preserve"> implies</w:t>
      </w:r>
      <w:r w:rsidR="00A22D2E">
        <w:t xml:space="preserve"> that the</w:t>
      </w:r>
      <w:r w:rsidR="00302D85">
        <w:t xml:space="preserve"> most favourable UL beam coincides with the most favourable DL beam, thereby simplifying the beam management process.</w:t>
      </w:r>
    </w:p>
    <w:p w14:paraId="188FE9A9" w14:textId="7E4CD57B" w:rsidR="00BB5439" w:rsidRDefault="00BC6978" w:rsidP="008661CA">
      <w:pPr>
        <w:pStyle w:val="BodyText"/>
      </w:pPr>
      <w:r>
        <w:t xml:space="preserve">The tolerance </w:t>
      </w:r>
      <w:r w:rsidR="00302D85">
        <w:t>put on</w:t>
      </w:r>
      <w:r>
        <w:t xml:space="preserve"> </w:t>
      </w:r>
      <w:r w:rsidR="00AE1465" w:rsidRPr="00D32A6E">
        <w:rPr>
          <w:b/>
          <w:i/>
        </w:rPr>
        <w:sym w:font="Symbol" w:char="F061"/>
      </w:r>
      <w:r>
        <w:t xml:space="preserve"> </w:t>
      </w:r>
      <w:r w:rsidR="00021214">
        <w:t xml:space="preserve"> </w:t>
      </w:r>
      <w:r>
        <w:t xml:space="preserve">in order </w:t>
      </w:r>
      <w:r w:rsidR="004A7A72">
        <w:t>to claim beam correspondence is yet not decided</w:t>
      </w:r>
      <w:r w:rsidR="00302D85">
        <w:t>.</w:t>
      </w:r>
      <w:r w:rsidR="004A7A72">
        <w:t xml:space="preserve"> </w:t>
      </w:r>
      <w:r w:rsidR="00302D85">
        <w:t>H</w:t>
      </w:r>
      <w:r w:rsidR="004A7A72">
        <w:t>owever, practical</w:t>
      </w:r>
      <w:r w:rsidR="00E52A57">
        <w:t xml:space="preserve"> </w:t>
      </w:r>
      <w:r w:rsidR="004A7A72">
        <w:t xml:space="preserve">tolerances of </w:t>
      </w:r>
      <w:r w:rsidR="000A4A19" w:rsidRPr="00D32A6E">
        <w:rPr>
          <w:b/>
          <w:i/>
        </w:rPr>
        <w:sym w:font="Symbol" w:char="F061"/>
      </w:r>
      <w:bookmarkStart w:id="0" w:name="_GoBack"/>
      <w:bookmarkEnd w:id="0"/>
      <w:r w:rsidR="00E52A57">
        <w:t>,</w:t>
      </w:r>
      <w:r w:rsidR="0037615B">
        <w:t xml:space="preserve"> from a verification point of view and</w:t>
      </w:r>
      <w:r w:rsidR="00E52A57">
        <w:t xml:space="preserve"> </w:t>
      </w:r>
      <w:r w:rsidR="004A7A72">
        <w:t xml:space="preserve">such </w:t>
      </w:r>
      <w:r w:rsidR="00E52A57">
        <w:t xml:space="preserve">that </w:t>
      </w:r>
      <w:r w:rsidR="004A7A72">
        <w:t>some design freedom exist</w:t>
      </w:r>
      <w:r w:rsidR="00E52A57">
        <w:t>s (refer to above example)</w:t>
      </w:r>
      <w:r w:rsidR="004A7A72">
        <w:t xml:space="preserve">, will still be too large in order to base the EIS spherical coverage </w:t>
      </w:r>
      <w:r w:rsidR="00E52A57">
        <w:t xml:space="preserve">solely </w:t>
      </w:r>
      <w:r w:rsidR="004A7A72">
        <w:t>on a</w:t>
      </w:r>
      <w:r w:rsidR="00E52A57">
        <w:t>n</w:t>
      </w:r>
      <w:r w:rsidR="004A7A72">
        <w:t xml:space="preserve"> EIRP spherical coverage measurement</w:t>
      </w:r>
      <w:r w:rsidR="00E52A57">
        <w:t>.</w:t>
      </w:r>
    </w:p>
    <w:p w14:paraId="6403B7EF" w14:textId="77777777" w:rsidR="003A403F" w:rsidRDefault="003A403F" w:rsidP="008661CA">
      <w:pPr>
        <w:pStyle w:val="BodyText"/>
      </w:pPr>
      <w:r>
        <w:t>We therefore come to the conclusion:</w:t>
      </w:r>
    </w:p>
    <w:p w14:paraId="7DB43DDD" w14:textId="77777777" w:rsidR="00D85902" w:rsidRDefault="0037615B" w:rsidP="0037615B">
      <w:pPr>
        <w:pStyle w:val="BodyText"/>
        <w:ind w:left="1418" w:hanging="1418"/>
        <w:rPr>
          <w:b/>
        </w:rPr>
      </w:pPr>
      <w:r>
        <w:rPr>
          <w:b/>
        </w:rPr>
        <w:t>Observation</w:t>
      </w:r>
      <w:r w:rsidR="00323EA1" w:rsidRPr="00E06DE7">
        <w:rPr>
          <w:b/>
        </w:rPr>
        <w:t xml:space="preserve"> 1:</w:t>
      </w:r>
      <w:r w:rsidR="00323EA1" w:rsidRPr="00E06DE7">
        <w:rPr>
          <w:b/>
        </w:rPr>
        <w:tab/>
      </w:r>
      <w:r w:rsidR="00E57877">
        <w:rPr>
          <w:b/>
        </w:rPr>
        <w:t>Given</w:t>
      </w:r>
      <w:r>
        <w:rPr>
          <w:b/>
        </w:rPr>
        <w:t xml:space="preserve"> practical tolerance</w:t>
      </w:r>
      <w:r w:rsidR="00E57877">
        <w:rPr>
          <w:b/>
        </w:rPr>
        <w:t>s</w:t>
      </w:r>
      <w:r w:rsidR="00B77D4E">
        <w:rPr>
          <w:b/>
        </w:rPr>
        <w:t>,</w:t>
      </w:r>
      <w:r w:rsidR="00E57877">
        <w:rPr>
          <w:b/>
        </w:rPr>
        <w:t xml:space="preserve"> </w:t>
      </w:r>
      <w:r>
        <w:rPr>
          <w:b/>
        </w:rPr>
        <w:t>t</w:t>
      </w:r>
      <w:r w:rsidR="003F7DD8">
        <w:rPr>
          <w:b/>
        </w:rPr>
        <w:t xml:space="preserve">he </w:t>
      </w:r>
      <w:r w:rsidR="00E57877">
        <w:rPr>
          <w:b/>
        </w:rPr>
        <w:t>CDF representing the EIS spherical coverage in FR2 cannot be deduced from the CDF representing EIRP spherical coverage</w:t>
      </w:r>
      <w:r w:rsidR="003A403F" w:rsidRPr="00E06DE7">
        <w:rPr>
          <w:b/>
        </w:rPr>
        <w:t>.</w:t>
      </w:r>
      <w:r w:rsidR="00B77D4E">
        <w:rPr>
          <w:b/>
        </w:rPr>
        <w:t xml:space="preserve"> Therefore, fulfilling EIS spherical coverage requirements does not follow from fulfilment of EIRP spherical coverage requirement.</w:t>
      </w:r>
    </w:p>
    <w:p w14:paraId="06B632A9" w14:textId="77777777" w:rsidR="00E57877" w:rsidRDefault="00E57877" w:rsidP="0037615B">
      <w:pPr>
        <w:pStyle w:val="BodyText"/>
        <w:ind w:left="1418" w:hanging="1418"/>
        <w:rPr>
          <w:b/>
        </w:rPr>
      </w:pPr>
      <w:r>
        <w:rPr>
          <w:b/>
        </w:rPr>
        <w:t>Proposal 1:</w:t>
      </w:r>
      <w:r>
        <w:rPr>
          <w:b/>
        </w:rPr>
        <w:tab/>
        <w:t xml:space="preserve">RAN4 shall further study ways to simplify </w:t>
      </w:r>
      <w:r w:rsidR="00B77D4E">
        <w:rPr>
          <w:b/>
        </w:rPr>
        <w:t>verification of EIS spherical coverage.</w:t>
      </w:r>
    </w:p>
    <w:p w14:paraId="16C23C1D" w14:textId="77777777"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14:paraId="3488D949" w14:textId="77777777" w:rsidR="000A0405" w:rsidRPr="00D85902" w:rsidRDefault="00E06DE7" w:rsidP="008661CA">
      <w:pPr>
        <w:pStyle w:val="BodyText"/>
        <w:rPr>
          <w:b/>
          <w:lang w:val="en-US"/>
        </w:rPr>
      </w:pPr>
      <w:r>
        <w:rPr>
          <w:lang w:val="en-US"/>
        </w:rPr>
        <w:t xml:space="preserve">In this contribution we have discussed the </w:t>
      </w:r>
      <w:r w:rsidR="003B5991">
        <w:rPr>
          <w:lang w:val="en-US"/>
        </w:rPr>
        <w:t xml:space="preserve">possibility to cover the requirement for EIS spherical coverage based on EIRP spherical coverage </w:t>
      </w:r>
      <w:r w:rsidR="00976E86">
        <w:rPr>
          <w:lang w:val="en-US"/>
        </w:rPr>
        <w:t>together with</w:t>
      </w:r>
      <w:r w:rsidR="003B5991">
        <w:rPr>
          <w:lang w:val="en-US"/>
        </w:rPr>
        <w:t xml:space="preserve"> </w:t>
      </w:r>
      <w:r w:rsidR="000A4A19">
        <w:rPr>
          <w:lang w:val="en-US"/>
        </w:rPr>
        <w:t xml:space="preserve">verified </w:t>
      </w:r>
      <w:r w:rsidR="003B5991">
        <w:rPr>
          <w:lang w:val="en-US"/>
        </w:rPr>
        <w:t>beam correspondence.</w:t>
      </w:r>
    </w:p>
    <w:p w14:paraId="01049A91" w14:textId="77777777" w:rsidR="00B77D4E" w:rsidRDefault="00B77D4E" w:rsidP="00B77D4E">
      <w:pPr>
        <w:pStyle w:val="BodyText"/>
        <w:ind w:left="1418" w:hanging="1418"/>
        <w:rPr>
          <w:b/>
        </w:rPr>
      </w:pPr>
      <w:r>
        <w:rPr>
          <w:b/>
        </w:rPr>
        <w:t>Observation</w:t>
      </w:r>
      <w:r w:rsidRPr="00E06DE7">
        <w:rPr>
          <w:b/>
        </w:rPr>
        <w:t xml:space="preserve"> 1:</w:t>
      </w:r>
      <w:r w:rsidRPr="00E06DE7">
        <w:rPr>
          <w:b/>
        </w:rPr>
        <w:tab/>
      </w:r>
      <w:r>
        <w:rPr>
          <w:b/>
        </w:rPr>
        <w:t>Given practical tolerances, the CDF representing the EIS spherical coverage in FR2 cannot be deduced from the CDF representing EIRP spherical coverage</w:t>
      </w:r>
      <w:r w:rsidRPr="00E06DE7">
        <w:rPr>
          <w:b/>
        </w:rPr>
        <w:t>.</w:t>
      </w:r>
      <w:r>
        <w:rPr>
          <w:b/>
        </w:rPr>
        <w:t xml:space="preserve"> Therefore, fulfilling EIS spherical coverage requirements does not follow from fulfilment of EIRP spherical coverage requirement.</w:t>
      </w:r>
    </w:p>
    <w:p w14:paraId="28AA665F" w14:textId="77777777" w:rsidR="00B77D4E" w:rsidRDefault="00B77D4E" w:rsidP="00B77D4E">
      <w:pPr>
        <w:pStyle w:val="BodyText"/>
        <w:ind w:left="1418" w:hanging="1418"/>
        <w:rPr>
          <w:b/>
        </w:rPr>
      </w:pPr>
      <w:r>
        <w:rPr>
          <w:b/>
        </w:rPr>
        <w:t>Proposal 1:</w:t>
      </w:r>
      <w:r>
        <w:rPr>
          <w:b/>
        </w:rPr>
        <w:tab/>
        <w:t>RAN4 shall further study ways to simplify verification of EIS spherical coverage.</w:t>
      </w:r>
    </w:p>
    <w:p w14:paraId="2C261F1C" w14:textId="77777777"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14:paraId="4D8436EC" w14:textId="77777777" w:rsidR="00E73C40" w:rsidRDefault="00E73C40" w:rsidP="00E73C40">
      <w:pPr>
        <w:pStyle w:val="references"/>
        <w:numPr>
          <w:ilvl w:val="0"/>
          <w:numId w:val="7"/>
        </w:numPr>
        <w:tabs>
          <w:tab w:val="left" w:pos="1560"/>
        </w:tabs>
      </w:pPr>
      <w:bookmarkStart w:id="1" w:name="_Ref508875069"/>
      <w:bookmarkStart w:id="2" w:name="_Ref508874720"/>
      <w:bookmarkStart w:id="3" w:name="_Ref484009661"/>
      <w:bookmarkStart w:id="4" w:name="_Ref447703865"/>
      <w:bookmarkStart w:id="5" w:name="_Ref455046197"/>
      <w:bookmarkStart w:id="6" w:name="_Ref473734040"/>
      <w:bookmarkStart w:id="7" w:name="_Ref481653652"/>
      <w:bookmarkStart w:id="8" w:name="_Ref447634836"/>
      <w:bookmarkStart w:id="9" w:name="_Ref447633816"/>
      <w:r w:rsidRPr="00E611EE">
        <w:rPr>
          <w:lang w:val="en-GB"/>
        </w:rPr>
        <w:t>R4-1803458</w:t>
      </w:r>
      <w:r w:rsidRPr="00E611EE">
        <w:rPr>
          <w:lang w:val="en-GB"/>
        </w:rPr>
        <w:tab/>
      </w:r>
      <w:r>
        <w:rPr>
          <w:lang w:val="en-GB"/>
        </w:rPr>
        <w:t>“</w:t>
      </w:r>
      <w:r w:rsidRPr="00E611EE">
        <w:rPr>
          <w:lang w:val="en-GB"/>
        </w:rPr>
        <w:t>WF on the test methodology of beam correspondence</w:t>
      </w:r>
      <w:r>
        <w:rPr>
          <w:lang w:val="en-GB"/>
        </w:rPr>
        <w:t xml:space="preserve">”, </w:t>
      </w:r>
      <w:r>
        <w:rPr>
          <w:i/>
          <w:lang w:val="en-GB"/>
        </w:rPr>
        <w:t>LG Electronics, Media</w:t>
      </w:r>
      <w:r w:rsidRPr="00E611EE">
        <w:rPr>
          <w:i/>
          <w:lang w:val="en-GB"/>
        </w:rPr>
        <w:t>Tek</w:t>
      </w:r>
      <w:bookmarkEnd w:id="1"/>
      <w:r w:rsidRPr="00E73C40">
        <w:t xml:space="preserve"> </w:t>
      </w:r>
    </w:p>
    <w:p w14:paraId="643BD157" w14:textId="77777777" w:rsidR="00E10660" w:rsidRDefault="00A81690" w:rsidP="00A81690">
      <w:pPr>
        <w:pStyle w:val="references"/>
        <w:numPr>
          <w:ilvl w:val="0"/>
          <w:numId w:val="7"/>
        </w:numPr>
        <w:tabs>
          <w:tab w:val="left" w:pos="1560"/>
        </w:tabs>
      </w:pPr>
      <w:bookmarkStart w:id="10" w:name="_Ref510712272"/>
      <w:bookmarkEnd w:id="2"/>
      <w:r w:rsidRPr="00A81690">
        <w:t>Final Report of 3GPP TSG RAN WG1 #86bis v1.0.0 (Lisbon, Portugal, 10th – 14th October 2016)</w:t>
      </w:r>
      <w:bookmarkEnd w:id="10"/>
      <w:r>
        <w:t xml:space="preserve"> </w:t>
      </w:r>
    </w:p>
    <w:p w14:paraId="65DAD16B" w14:textId="77777777" w:rsidR="00A81690" w:rsidRPr="00153194" w:rsidRDefault="00A81690" w:rsidP="00454A50">
      <w:pPr>
        <w:pStyle w:val="references"/>
        <w:numPr>
          <w:ilvl w:val="0"/>
          <w:numId w:val="7"/>
        </w:numPr>
        <w:tabs>
          <w:tab w:val="left" w:pos="1560"/>
        </w:tabs>
      </w:pPr>
      <w:bookmarkStart w:id="11" w:name="_Ref510706534"/>
      <w:r>
        <w:t>Final Report of 3GPP TSG RAN WG1 #AH1_NR v1.0.0 (Spokane, USA, 16th – 20th January 2017)</w:t>
      </w:r>
      <w:bookmarkEnd w:id="11"/>
    </w:p>
    <w:p w14:paraId="16A0D568" w14:textId="77777777" w:rsidR="00153194" w:rsidRPr="00234A66" w:rsidRDefault="00153194" w:rsidP="00234A66">
      <w:pPr>
        <w:pStyle w:val="references"/>
        <w:numPr>
          <w:ilvl w:val="0"/>
          <w:numId w:val="7"/>
        </w:numPr>
        <w:tabs>
          <w:tab w:val="left" w:pos="1560"/>
        </w:tabs>
      </w:pPr>
      <w:bookmarkStart w:id="12" w:name="_Ref508805565"/>
      <w:bookmarkStart w:id="13" w:name="_Ref508807149"/>
      <w:r>
        <w:rPr>
          <w:lang w:val="en-GB"/>
        </w:rPr>
        <w:t>R4-1800731</w:t>
      </w:r>
      <w:r>
        <w:rPr>
          <w:lang w:val="en-GB"/>
        </w:rPr>
        <w:tab/>
        <w:t>“</w:t>
      </w:r>
      <w:r w:rsidR="00234A66" w:rsidRPr="00234A66">
        <w:rPr>
          <w:lang w:val="en-GB"/>
        </w:rPr>
        <w:t>Beam Correspondence Requirements</w:t>
      </w:r>
      <w:r>
        <w:rPr>
          <w:lang w:val="en-GB"/>
        </w:rPr>
        <w:t xml:space="preserve">”, </w:t>
      </w:r>
      <w:bookmarkEnd w:id="12"/>
      <w:r w:rsidR="00234A66" w:rsidRPr="00234A66">
        <w:rPr>
          <w:i/>
          <w:lang w:val="en-GB"/>
        </w:rPr>
        <w:t>Qualcomm Incorporated</w:t>
      </w:r>
      <w:bookmarkEnd w:id="13"/>
    </w:p>
    <w:p w14:paraId="3327C0F6" w14:textId="77777777" w:rsidR="00234A66" w:rsidRPr="00F257DD" w:rsidRDefault="00234A66" w:rsidP="00234A66">
      <w:pPr>
        <w:pStyle w:val="references"/>
        <w:numPr>
          <w:ilvl w:val="0"/>
          <w:numId w:val="7"/>
        </w:numPr>
        <w:tabs>
          <w:tab w:val="left" w:pos="1560"/>
        </w:tabs>
      </w:pPr>
      <w:bookmarkStart w:id="14" w:name="_Ref508807160"/>
      <w:r>
        <w:t>R4-1802282</w:t>
      </w:r>
      <w:r>
        <w:tab/>
        <w:t>“</w:t>
      </w:r>
      <w:r w:rsidRPr="00234A66">
        <w:t>FR2 UE beam correspondence requirements</w:t>
      </w:r>
      <w:r>
        <w:t xml:space="preserve">”, </w:t>
      </w:r>
      <w:r w:rsidRPr="00234A66">
        <w:rPr>
          <w:i/>
        </w:rPr>
        <w:t>MediaTek Inc</w:t>
      </w:r>
      <w:r>
        <w:rPr>
          <w:i/>
        </w:rPr>
        <w:t>.</w:t>
      </w:r>
      <w:bookmarkEnd w:id="14"/>
    </w:p>
    <w:p w14:paraId="17227077" w14:textId="77777777" w:rsidR="00F257DD" w:rsidRPr="00DD3B70" w:rsidRDefault="00F257DD" w:rsidP="00F257DD">
      <w:pPr>
        <w:pStyle w:val="references"/>
        <w:numPr>
          <w:ilvl w:val="0"/>
          <w:numId w:val="7"/>
        </w:numPr>
        <w:tabs>
          <w:tab w:val="left" w:pos="1560"/>
        </w:tabs>
      </w:pPr>
      <w:bookmarkStart w:id="15" w:name="_Ref508807167"/>
      <w:r w:rsidRPr="00F257DD">
        <w:lastRenderedPageBreak/>
        <w:t>R4-1801637</w:t>
      </w:r>
      <w:r>
        <w:tab/>
        <w:t>“</w:t>
      </w:r>
      <w:r w:rsidRPr="00F257DD">
        <w:t>Comparison of two test methodology for beam correspondence RF requirements</w:t>
      </w:r>
      <w:r>
        <w:t xml:space="preserve">”, </w:t>
      </w:r>
      <w:r w:rsidRPr="00F257DD">
        <w:rPr>
          <w:i/>
        </w:rPr>
        <w:t>LG Electronics</w:t>
      </w:r>
      <w:bookmarkEnd w:id="15"/>
    </w:p>
    <w:p w14:paraId="1F414991" w14:textId="77777777" w:rsidR="00A345D4" w:rsidRDefault="00492D3C" w:rsidP="00A345D4">
      <w:pPr>
        <w:pStyle w:val="references"/>
        <w:numPr>
          <w:ilvl w:val="0"/>
          <w:numId w:val="7"/>
        </w:numPr>
        <w:tabs>
          <w:tab w:val="left" w:pos="1560"/>
        </w:tabs>
      </w:pPr>
      <w:bookmarkStart w:id="16" w:name="_Ref510703570"/>
      <w:bookmarkEnd w:id="3"/>
      <w:bookmarkEnd w:id="4"/>
      <w:bookmarkEnd w:id="5"/>
      <w:bookmarkEnd w:id="6"/>
      <w:bookmarkEnd w:id="7"/>
      <w:bookmarkEnd w:id="8"/>
      <w:bookmarkEnd w:id="9"/>
      <w:r>
        <w:t>R4-1801798</w:t>
      </w:r>
      <w:r>
        <w:tab/>
        <w:t xml:space="preserve">“Beam correspondence in FR2”, </w:t>
      </w:r>
      <w:r w:rsidRPr="00492D3C">
        <w:rPr>
          <w:i/>
        </w:rPr>
        <w:t>Intel Corporation</w:t>
      </w:r>
      <w:bookmarkStart w:id="17" w:name="_Ref510711298"/>
      <w:bookmarkEnd w:id="16"/>
    </w:p>
    <w:p w14:paraId="26B00C54" w14:textId="77777777" w:rsidR="00313204" w:rsidRDefault="00313204" w:rsidP="00A345D4">
      <w:pPr>
        <w:pStyle w:val="references"/>
        <w:numPr>
          <w:ilvl w:val="0"/>
          <w:numId w:val="7"/>
        </w:numPr>
        <w:tabs>
          <w:tab w:val="left" w:pos="1560"/>
        </w:tabs>
      </w:pPr>
      <w:r w:rsidRPr="00313204">
        <w:t>RAN4 NR#3 UE RF Chainman Report, Agenda 3.3.4.1.1, 3</w:t>
      </w:r>
      <w:r w:rsidR="00A345D4">
        <w:t>GPP TSG-RAN WG4 NR#3 AH Meeting</w:t>
      </w:r>
      <w:r w:rsidRPr="00313204">
        <w:t xml:space="preserve"> </w:t>
      </w:r>
      <w:r>
        <w:t xml:space="preserve"> (</w:t>
      </w:r>
      <w:r w:rsidRPr="00313204">
        <w:t>Nagoya, Japan, September 18th – 21st, 2017</w:t>
      </w:r>
      <w:r>
        <w:t>)</w:t>
      </w:r>
      <w:bookmarkEnd w:id="17"/>
    </w:p>
    <w:p w14:paraId="4AD5C563" w14:textId="77777777" w:rsidR="00A17EEE" w:rsidRPr="00E611EE" w:rsidRDefault="00A17EEE" w:rsidP="00A17EEE">
      <w:pPr>
        <w:pStyle w:val="references"/>
        <w:numPr>
          <w:ilvl w:val="0"/>
          <w:numId w:val="7"/>
        </w:numPr>
        <w:tabs>
          <w:tab w:val="left" w:pos="1560"/>
        </w:tabs>
      </w:pPr>
      <w:bookmarkStart w:id="18" w:name="_Ref508883153"/>
      <w:r w:rsidRPr="00DD3B70">
        <w:t>R4-1700190</w:t>
      </w:r>
      <w:r>
        <w:tab/>
        <w:t>“</w:t>
      </w:r>
      <w:r w:rsidRPr="00DD3B70">
        <w:t>Beam Correspondence for NR</w:t>
      </w:r>
      <w:r>
        <w:t xml:space="preserve">”, </w:t>
      </w:r>
      <w:r w:rsidRPr="00234A66">
        <w:rPr>
          <w:i/>
          <w:lang w:val="en-GB"/>
        </w:rPr>
        <w:t>Qualcomm Incorporated</w:t>
      </w:r>
      <w:bookmarkEnd w:id="18"/>
    </w:p>
    <w:p w14:paraId="06023CC3" w14:textId="0908BDC4" w:rsidR="00D120CA" w:rsidRDefault="00D120CA" w:rsidP="00F257DD">
      <w:pPr>
        <w:pStyle w:val="references"/>
        <w:numPr>
          <w:ilvl w:val="0"/>
          <w:numId w:val="0"/>
        </w:numPr>
        <w:tabs>
          <w:tab w:val="left" w:pos="1560"/>
        </w:tabs>
      </w:pPr>
    </w:p>
    <w:sectPr w:rsidR="00D120C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9AD7A" w14:textId="77777777" w:rsidR="00EE2BCA" w:rsidRDefault="00EE2BCA">
      <w:r>
        <w:separator/>
      </w:r>
    </w:p>
  </w:endnote>
  <w:endnote w:type="continuationSeparator" w:id="0">
    <w:p w14:paraId="2D09160C" w14:textId="77777777" w:rsidR="00EE2BCA" w:rsidRDefault="00EE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394F5" w14:textId="77777777" w:rsidR="00EE2BCA" w:rsidRDefault="00EE2BCA">
      <w:r>
        <w:separator/>
      </w:r>
    </w:p>
  </w:footnote>
  <w:footnote w:type="continuationSeparator" w:id="0">
    <w:p w14:paraId="6AAF56CC" w14:textId="77777777" w:rsidR="00EE2BCA" w:rsidRDefault="00EE2B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565E5E"/>
    <w:multiLevelType w:val="hybridMultilevel"/>
    <w:tmpl w:val="250E1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FA3DCC"/>
    <w:multiLevelType w:val="hybridMultilevel"/>
    <w:tmpl w:val="D8AE3DF0"/>
    <w:lvl w:ilvl="0" w:tplc="AB4858BA">
      <w:start w:val="1"/>
      <w:numFmt w:val="bullet"/>
      <w:lvlText w:val="•"/>
      <w:lvlJc w:val="left"/>
      <w:pPr>
        <w:tabs>
          <w:tab w:val="num" w:pos="720"/>
        </w:tabs>
        <w:ind w:left="720" w:hanging="360"/>
      </w:pPr>
      <w:rPr>
        <w:rFonts w:ascii="Arial" w:hAnsi="Arial" w:hint="default"/>
      </w:rPr>
    </w:lvl>
    <w:lvl w:ilvl="1" w:tplc="6B087EF0" w:tentative="1">
      <w:start w:val="1"/>
      <w:numFmt w:val="bullet"/>
      <w:lvlText w:val="•"/>
      <w:lvlJc w:val="left"/>
      <w:pPr>
        <w:tabs>
          <w:tab w:val="num" w:pos="1440"/>
        </w:tabs>
        <w:ind w:left="1440" w:hanging="360"/>
      </w:pPr>
      <w:rPr>
        <w:rFonts w:ascii="Arial" w:hAnsi="Arial" w:hint="default"/>
      </w:rPr>
    </w:lvl>
    <w:lvl w:ilvl="2" w:tplc="65109634">
      <w:start w:val="1"/>
      <w:numFmt w:val="bullet"/>
      <w:lvlText w:val="•"/>
      <w:lvlJc w:val="left"/>
      <w:pPr>
        <w:tabs>
          <w:tab w:val="num" w:pos="2160"/>
        </w:tabs>
        <w:ind w:left="2160" w:hanging="360"/>
      </w:pPr>
      <w:rPr>
        <w:rFonts w:ascii="Arial" w:hAnsi="Arial" w:hint="default"/>
      </w:rPr>
    </w:lvl>
    <w:lvl w:ilvl="3" w:tplc="BBEE0D50">
      <w:start w:val="57"/>
      <w:numFmt w:val="bullet"/>
      <w:lvlText w:val="–"/>
      <w:lvlJc w:val="left"/>
      <w:pPr>
        <w:tabs>
          <w:tab w:val="num" w:pos="2880"/>
        </w:tabs>
        <w:ind w:left="2880" w:hanging="360"/>
      </w:pPr>
      <w:rPr>
        <w:rFonts w:ascii="Arial" w:hAnsi="Arial" w:hint="default"/>
      </w:rPr>
    </w:lvl>
    <w:lvl w:ilvl="4" w:tplc="22A6BCC0" w:tentative="1">
      <w:start w:val="1"/>
      <w:numFmt w:val="bullet"/>
      <w:lvlText w:val="•"/>
      <w:lvlJc w:val="left"/>
      <w:pPr>
        <w:tabs>
          <w:tab w:val="num" w:pos="3600"/>
        </w:tabs>
        <w:ind w:left="3600" w:hanging="360"/>
      </w:pPr>
      <w:rPr>
        <w:rFonts w:ascii="Arial" w:hAnsi="Arial" w:hint="default"/>
      </w:rPr>
    </w:lvl>
    <w:lvl w:ilvl="5" w:tplc="858855C0" w:tentative="1">
      <w:start w:val="1"/>
      <w:numFmt w:val="bullet"/>
      <w:lvlText w:val="•"/>
      <w:lvlJc w:val="left"/>
      <w:pPr>
        <w:tabs>
          <w:tab w:val="num" w:pos="4320"/>
        </w:tabs>
        <w:ind w:left="4320" w:hanging="360"/>
      </w:pPr>
      <w:rPr>
        <w:rFonts w:ascii="Arial" w:hAnsi="Arial" w:hint="default"/>
      </w:rPr>
    </w:lvl>
    <w:lvl w:ilvl="6" w:tplc="36CA3608" w:tentative="1">
      <w:start w:val="1"/>
      <w:numFmt w:val="bullet"/>
      <w:lvlText w:val="•"/>
      <w:lvlJc w:val="left"/>
      <w:pPr>
        <w:tabs>
          <w:tab w:val="num" w:pos="5040"/>
        </w:tabs>
        <w:ind w:left="5040" w:hanging="360"/>
      </w:pPr>
      <w:rPr>
        <w:rFonts w:ascii="Arial" w:hAnsi="Arial" w:hint="default"/>
      </w:rPr>
    </w:lvl>
    <w:lvl w:ilvl="7" w:tplc="4558A128" w:tentative="1">
      <w:start w:val="1"/>
      <w:numFmt w:val="bullet"/>
      <w:lvlText w:val="•"/>
      <w:lvlJc w:val="left"/>
      <w:pPr>
        <w:tabs>
          <w:tab w:val="num" w:pos="5760"/>
        </w:tabs>
        <w:ind w:left="5760" w:hanging="360"/>
      </w:pPr>
      <w:rPr>
        <w:rFonts w:ascii="Arial" w:hAnsi="Arial" w:hint="default"/>
      </w:rPr>
    </w:lvl>
    <w:lvl w:ilvl="8" w:tplc="0DA6F4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1"/>
  </w:num>
  <w:num w:numId="4">
    <w:abstractNumId w:val="4"/>
  </w:num>
  <w:num w:numId="5">
    <w:abstractNumId w:val="3"/>
  </w:num>
  <w:num w:numId="6">
    <w:abstractNumId w:val="7"/>
  </w:num>
  <w:num w:numId="7">
    <w:abstractNumId w:val="10"/>
  </w:num>
  <w:num w:numId="8">
    <w:abstractNumId w:val="1"/>
  </w:num>
  <w:num w:numId="9">
    <w:abstractNumId w:val="9"/>
  </w:num>
  <w:num w:numId="10">
    <w:abstractNumId w:val="8"/>
  </w:num>
  <w:num w:numId="11">
    <w:abstractNumId w:val="6"/>
  </w:num>
  <w:num w:numId="1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373B"/>
    <w:rsid w:val="00014B15"/>
    <w:rsid w:val="00014CA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A0C"/>
    <w:rsid w:val="000824E1"/>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23D0"/>
    <w:rsid w:val="000D37E5"/>
    <w:rsid w:val="000D39F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5F79"/>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B97"/>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684"/>
    <w:rsid w:val="002019BC"/>
    <w:rsid w:val="00201D42"/>
    <w:rsid w:val="002021DA"/>
    <w:rsid w:val="002029AE"/>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A66"/>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150"/>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F3C"/>
    <w:rsid w:val="003B005C"/>
    <w:rsid w:val="003B0984"/>
    <w:rsid w:val="003B1A34"/>
    <w:rsid w:val="003B1AE8"/>
    <w:rsid w:val="003B26FA"/>
    <w:rsid w:val="003B2C00"/>
    <w:rsid w:val="003B3027"/>
    <w:rsid w:val="003B3385"/>
    <w:rsid w:val="003B3CB0"/>
    <w:rsid w:val="003B41AB"/>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55FE"/>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78B"/>
    <w:rsid w:val="00410A5E"/>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19D6"/>
    <w:rsid w:val="00422642"/>
    <w:rsid w:val="004233C3"/>
    <w:rsid w:val="00423792"/>
    <w:rsid w:val="0042420C"/>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C1C"/>
    <w:rsid w:val="00446DCD"/>
    <w:rsid w:val="00446E2F"/>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32A"/>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97490"/>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68F1"/>
    <w:rsid w:val="004A7287"/>
    <w:rsid w:val="004A73E5"/>
    <w:rsid w:val="004A755F"/>
    <w:rsid w:val="004A7882"/>
    <w:rsid w:val="004A7A7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25BE"/>
    <w:rsid w:val="004F2826"/>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0ED"/>
    <w:rsid w:val="00507516"/>
    <w:rsid w:val="00507F8D"/>
    <w:rsid w:val="00507FCB"/>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5871"/>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4D8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196"/>
    <w:rsid w:val="005B3291"/>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D78D3"/>
    <w:rsid w:val="005E0212"/>
    <w:rsid w:val="005E06D6"/>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29A"/>
    <w:rsid w:val="006A3C73"/>
    <w:rsid w:val="006A3CD8"/>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6E9"/>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4F6D"/>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1A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E11"/>
    <w:rsid w:val="007A2839"/>
    <w:rsid w:val="007A2DE5"/>
    <w:rsid w:val="007A36DC"/>
    <w:rsid w:val="007A39FB"/>
    <w:rsid w:val="007A3C1D"/>
    <w:rsid w:val="007A400F"/>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3C"/>
    <w:rsid w:val="007C7DD4"/>
    <w:rsid w:val="007D0160"/>
    <w:rsid w:val="007D10A0"/>
    <w:rsid w:val="007D1311"/>
    <w:rsid w:val="007D14DC"/>
    <w:rsid w:val="007D18B4"/>
    <w:rsid w:val="007D1A66"/>
    <w:rsid w:val="007D2255"/>
    <w:rsid w:val="007D27E6"/>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78BA"/>
    <w:rsid w:val="007E7D0E"/>
    <w:rsid w:val="007F0531"/>
    <w:rsid w:val="007F09C9"/>
    <w:rsid w:val="007F0A5B"/>
    <w:rsid w:val="007F0F70"/>
    <w:rsid w:val="007F1551"/>
    <w:rsid w:val="007F2279"/>
    <w:rsid w:val="007F2944"/>
    <w:rsid w:val="007F31FB"/>
    <w:rsid w:val="007F3438"/>
    <w:rsid w:val="007F3857"/>
    <w:rsid w:val="007F3D1E"/>
    <w:rsid w:val="007F4794"/>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7397"/>
    <w:rsid w:val="00817456"/>
    <w:rsid w:val="00817548"/>
    <w:rsid w:val="0082089A"/>
    <w:rsid w:val="00820DAA"/>
    <w:rsid w:val="00820E41"/>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319E"/>
    <w:rsid w:val="00883815"/>
    <w:rsid w:val="008839E7"/>
    <w:rsid w:val="00883A00"/>
    <w:rsid w:val="008846AE"/>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362D"/>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EB1"/>
    <w:rsid w:val="009A27B8"/>
    <w:rsid w:val="009A44D5"/>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8A"/>
    <w:rsid w:val="00A20DD0"/>
    <w:rsid w:val="00A20FA9"/>
    <w:rsid w:val="00A21D9C"/>
    <w:rsid w:val="00A22D2E"/>
    <w:rsid w:val="00A2362D"/>
    <w:rsid w:val="00A236DE"/>
    <w:rsid w:val="00A23C09"/>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1E6F"/>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6D6"/>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C1D"/>
    <w:rsid w:val="00B3614E"/>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77D4E"/>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464"/>
    <w:rsid w:val="00B9751B"/>
    <w:rsid w:val="00B97576"/>
    <w:rsid w:val="00B97654"/>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720D"/>
    <w:rsid w:val="00BB73D4"/>
    <w:rsid w:val="00BB759F"/>
    <w:rsid w:val="00BB76DB"/>
    <w:rsid w:val="00BC0B6E"/>
    <w:rsid w:val="00BC18CF"/>
    <w:rsid w:val="00BC1BA0"/>
    <w:rsid w:val="00BC1E3C"/>
    <w:rsid w:val="00BC26B0"/>
    <w:rsid w:val="00BC26BA"/>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13DD"/>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2A6E"/>
    <w:rsid w:val="00D33630"/>
    <w:rsid w:val="00D339E6"/>
    <w:rsid w:val="00D34288"/>
    <w:rsid w:val="00D3461D"/>
    <w:rsid w:val="00D34AAD"/>
    <w:rsid w:val="00D34DFE"/>
    <w:rsid w:val="00D350CF"/>
    <w:rsid w:val="00D3568B"/>
    <w:rsid w:val="00D35F9B"/>
    <w:rsid w:val="00D3651C"/>
    <w:rsid w:val="00D36577"/>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4E2"/>
    <w:rsid w:val="00D5659F"/>
    <w:rsid w:val="00D56F9E"/>
    <w:rsid w:val="00D571E1"/>
    <w:rsid w:val="00D60461"/>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6372"/>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6DE7"/>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EAB"/>
    <w:rsid w:val="00E607B4"/>
    <w:rsid w:val="00E6092D"/>
    <w:rsid w:val="00E60F7E"/>
    <w:rsid w:val="00E61190"/>
    <w:rsid w:val="00E611EE"/>
    <w:rsid w:val="00E61C8C"/>
    <w:rsid w:val="00E61F55"/>
    <w:rsid w:val="00E61F9E"/>
    <w:rsid w:val="00E62130"/>
    <w:rsid w:val="00E62931"/>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337"/>
    <w:rsid w:val="00EE1A36"/>
    <w:rsid w:val="00EE20C6"/>
    <w:rsid w:val="00EE2766"/>
    <w:rsid w:val="00EE2BB8"/>
    <w:rsid w:val="00EE2BCA"/>
    <w:rsid w:val="00EE36C8"/>
    <w:rsid w:val="00EE3BBC"/>
    <w:rsid w:val="00EE3E3C"/>
    <w:rsid w:val="00EE436F"/>
    <w:rsid w:val="00EE45DB"/>
    <w:rsid w:val="00EE4A99"/>
    <w:rsid w:val="00EE4C9F"/>
    <w:rsid w:val="00EE4CC5"/>
    <w:rsid w:val="00EE4DD2"/>
    <w:rsid w:val="00EE5222"/>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715C"/>
    <w:rsid w:val="00F47B45"/>
    <w:rsid w:val="00F47B83"/>
    <w:rsid w:val="00F47FCC"/>
    <w:rsid w:val="00F50649"/>
    <w:rsid w:val="00F50C8E"/>
    <w:rsid w:val="00F5162E"/>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6F096-048F-4111-A5C9-86F31B58D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2018-04-06T17:39:00Z</dcterms:created>
  <dcterms:modified xsi:type="dcterms:W3CDTF">2018-04-06T17:54:00Z</dcterms:modified>
</cp:coreProperties>
</file>